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45B3" w:rsidRPr="004B2AA4" w:rsidRDefault="002345B3" w:rsidP="00C552BE">
      <w:pPr>
        <w:jc w:val="center"/>
        <w:rPr>
          <w:rFonts w:cs="Arial"/>
          <w:b/>
          <w:color w:val="365F91" w:themeColor="accent1" w:themeShade="BF"/>
          <w:sz w:val="32"/>
          <w:szCs w:val="32"/>
        </w:rPr>
      </w:pPr>
      <w:r w:rsidRPr="004B2AA4">
        <w:rPr>
          <w:rFonts w:cs="Arial"/>
          <w:b/>
          <w:color w:val="365F91" w:themeColor="accent1" w:themeShade="BF"/>
          <w:sz w:val="32"/>
          <w:szCs w:val="32"/>
        </w:rPr>
        <w:t xml:space="preserve">Allgemeine </w:t>
      </w:r>
      <w:r w:rsidR="002222A2" w:rsidRPr="004B2AA4">
        <w:rPr>
          <w:rFonts w:cs="Arial"/>
          <w:b/>
          <w:color w:val="365F91" w:themeColor="accent1" w:themeShade="BF"/>
          <w:sz w:val="32"/>
          <w:szCs w:val="32"/>
        </w:rPr>
        <w:t>Schulungs</w:t>
      </w:r>
      <w:r w:rsidRPr="004B2AA4">
        <w:rPr>
          <w:rFonts w:cs="Arial"/>
          <w:b/>
          <w:color w:val="365F91" w:themeColor="accent1" w:themeShade="BF"/>
          <w:sz w:val="32"/>
          <w:szCs w:val="32"/>
        </w:rPr>
        <w:t>bedingungen</w:t>
      </w:r>
    </w:p>
    <w:p w:rsidR="002A15F1" w:rsidRPr="004B2AA4" w:rsidRDefault="002A15F1" w:rsidP="00C552BE">
      <w:pPr>
        <w:jc w:val="center"/>
        <w:rPr>
          <w:rFonts w:cs="Arial"/>
          <w:b/>
          <w:color w:val="339966"/>
          <w:sz w:val="22"/>
          <w:szCs w:val="22"/>
        </w:rPr>
      </w:pPr>
    </w:p>
    <w:p w:rsidR="002345B3" w:rsidRPr="004B2AA4" w:rsidRDefault="0064733E" w:rsidP="000D30BD">
      <w:pPr>
        <w:spacing w:after="240"/>
        <w:jc w:val="both"/>
        <w:rPr>
          <w:rFonts w:cs="Arial"/>
        </w:rPr>
      </w:pPr>
      <w:r w:rsidRPr="004B2AA4">
        <w:rPr>
          <w:rFonts w:cs="Arial"/>
        </w:rPr>
        <w:t xml:space="preserve">Bei den vorliegenden Bedingungen handelt es sich um </w:t>
      </w:r>
      <w:r w:rsidR="002345B3" w:rsidRPr="004B2AA4">
        <w:rPr>
          <w:rFonts w:cs="Arial"/>
        </w:rPr>
        <w:t xml:space="preserve">Allgemeine </w:t>
      </w:r>
      <w:r w:rsidR="002222A2" w:rsidRPr="004B2AA4">
        <w:rPr>
          <w:rFonts w:cs="Arial"/>
        </w:rPr>
        <w:t>Schulungs</w:t>
      </w:r>
      <w:r w:rsidR="002345B3" w:rsidRPr="004B2AA4">
        <w:rPr>
          <w:rFonts w:cs="Arial"/>
        </w:rPr>
        <w:t xml:space="preserve">bedingungen für die Teilnahme an Schulungen, </w:t>
      </w:r>
      <w:r w:rsidR="002222A2" w:rsidRPr="004B2AA4">
        <w:rPr>
          <w:rFonts w:cs="Arial"/>
        </w:rPr>
        <w:t xml:space="preserve">Fortbildungen, </w:t>
      </w:r>
      <w:r w:rsidR="002345B3" w:rsidRPr="004B2AA4">
        <w:rPr>
          <w:rFonts w:cs="Arial"/>
        </w:rPr>
        <w:t>Seminaren</w:t>
      </w:r>
      <w:r w:rsidR="002A15F1" w:rsidRPr="004B2AA4">
        <w:rPr>
          <w:rFonts w:cs="Arial"/>
        </w:rPr>
        <w:t xml:space="preserve"> und</w:t>
      </w:r>
      <w:r w:rsidR="002345B3" w:rsidRPr="004B2AA4">
        <w:rPr>
          <w:rFonts w:cs="Arial"/>
        </w:rPr>
        <w:t xml:space="preserve"> Lehrgängen sowie </w:t>
      </w:r>
      <w:r w:rsidR="00DF5364" w:rsidRPr="004B2AA4">
        <w:rPr>
          <w:rFonts w:cs="Arial"/>
        </w:rPr>
        <w:t>sonstigen Weiterbildungsa</w:t>
      </w:r>
      <w:r w:rsidR="002345B3" w:rsidRPr="004B2AA4">
        <w:rPr>
          <w:rFonts w:cs="Arial"/>
        </w:rPr>
        <w:t>ngeboten</w:t>
      </w:r>
      <w:r w:rsidR="00F86DBF" w:rsidRPr="004B2AA4">
        <w:rPr>
          <w:rFonts w:cs="Arial"/>
        </w:rPr>
        <w:t xml:space="preserve"> </w:t>
      </w:r>
      <w:r w:rsidR="002345B3" w:rsidRPr="004B2AA4">
        <w:rPr>
          <w:rFonts w:cs="Arial"/>
        </w:rPr>
        <w:t xml:space="preserve">(nachfolgend </w:t>
      </w:r>
      <w:r w:rsidR="00DF5364" w:rsidRPr="004B2AA4">
        <w:rPr>
          <w:rFonts w:cs="Arial"/>
        </w:rPr>
        <w:t>„</w:t>
      </w:r>
      <w:r w:rsidR="002345B3" w:rsidRPr="004B2AA4">
        <w:rPr>
          <w:rFonts w:cs="Arial"/>
        </w:rPr>
        <w:t>Veranstaltungen</w:t>
      </w:r>
      <w:r w:rsidR="00DF5364" w:rsidRPr="004B2AA4">
        <w:rPr>
          <w:rFonts w:cs="Arial"/>
        </w:rPr>
        <w:t>“</w:t>
      </w:r>
      <w:r w:rsidR="002345B3" w:rsidRPr="004B2AA4">
        <w:rPr>
          <w:rFonts w:cs="Arial"/>
        </w:rPr>
        <w:t xml:space="preserve"> genannt)</w:t>
      </w:r>
      <w:r w:rsidR="002A15F1" w:rsidRPr="004B2AA4">
        <w:rPr>
          <w:rFonts w:cs="Arial"/>
        </w:rPr>
        <w:t xml:space="preserve"> bei der Durchführung von Veranstaltungen im Zusammenhang mit mobilen Arbeitsmaschinen</w:t>
      </w:r>
      <w:r w:rsidR="002345B3" w:rsidRPr="004B2AA4">
        <w:rPr>
          <w:rFonts w:cs="Arial"/>
        </w:rPr>
        <w:t xml:space="preserve"> der </w:t>
      </w:r>
      <w:r w:rsidR="002A15F1" w:rsidRPr="004B2AA4">
        <w:rPr>
          <w:rFonts w:cs="Arial"/>
        </w:rPr>
        <w:t xml:space="preserve">Firma </w:t>
      </w:r>
      <w:r w:rsidR="000B2EAA">
        <w:rPr>
          <w:rFonts w:cs="Arial"/>
        </w:rPr>
        <w:t xml:space="preserve">Dummer </w:t>
      </w:r>
      <w:r w:rsidR="002E5F09" w:rsidRPr="004B2AA4">
        <w:rPr>
          <w:rFonts w:cs="Arial"/>
        </w:rPr>
        <w:t>GmbH (nachfolgend „</w:t>
      </w:r>
      <w:r w:rsidR="002A15F1" w:rsidRPr="004B2AA4">
        <w:rPr>
          <w:rFonts w:cs="Arial"/>
        </w:rPr>
        <w:t>Veranstalter</w:t>
      </w:r>
      <w:r w:rsidR="002345B3" w:rsidRPr="004B2AA4">
        <w:rPr>
          <w:rFonts w:cs="Arial"/>
        </w:rPr>
        <w:t>“ genannt)</w:t>
      </w:r>
      <w:r w:rsidR="00DF5364" w:rsidRPr="004B2AA4">
        <w:rPr>
          <w:rFonts w:cs="Arial"/>
        </w:rPr>
        <w:t>.</w:t>
      </w:r>
    </w:p>
    <w:p w:rsidR="002345B3" w:rsidRPr="004B2AA4" w:rsidRDefault="000D30BD" w:rsidP="000D30BD">
      <w:pPr>
        <w:tabs>
          <w:tab w:val="left" w:pos="426"/>
        </w:tabs>
        <w:spacing w:after="120"/>
        <w:jc w:val="both"/>
        <w:rPr>
          <w:rFonts w:cs="Arial"/>
          <w:b/>
          <w:color w:val="365F91" w:themeColor="accent1" w:themeShade="BF"/>
        </w:rPr>
      </w:pPr>
      <w:r w:rsidRPr="004B2AA4">
        <w:rPr>
          <w:rFonts w:cs="Arial"/>
          <w:b/>
          <w:color w:val="365F91" w:themeColor="accent1" w:themeShade="BF"/>
        </w:rPr>
        <w:t>I.</w:t>
      </w:r>
      <w:r w:rsidRPr="004B2AA4">
        <w:rPr>
          <w:rFonts w:cs="Arial"/>
          <w:b/>
          <w:color w:val="365F91" w:themeColor="accent1" w:themeShade="BF"/>
        </w:rPr>
        <w:tab/>
      </w:r>
      <w:r w:rsidR="002345B3" w:rsidRPr="004B2AA4">
        <w:rPr>
          <w:rFonts w:cs="Arial"/>
          <w:b/>
          <w:color w:val="365F91" w:themeColor="accent1" w:themeShade="BF"/>
        </w:rPr>
        <w:t>Allgemeine Bestimmungen</w:t>
      </w:r>
    </w:p>
    <w:p w:rsidR="002345B3" w:rsidRPr="004B2AA4" w:rsidRDefault="000D30BD" w:rsidP="000D30BD">
      <w:pPr>
        <w:tabs>
          <w:tab w:val="left" w:pos="426"/>
        </w:tabs>
        <w:spacing w:after="120"/>
        <w:jc w:val="both"/>
        <w:rPr>
          <w:rFonts w:cs="Arial"/>
          <w:color w:val="365F91" w:themeColor="accent1" w:themeShade="BF"/>
        </w:rPr>
      </w:pPr>
      <w:r w:rsidRPr="004B2AA4">
        <w:rPr>
          <w:rFonts w:cs="Arial"/>
          <w:color w:val="365F91" w:themeColor="accent1" w:themeShade="BF"/>
        </w:rPr>
        <w:t>1.</w:t>
      </w:r>
      <w:r w:rsidRPr="004B2AA4">
        <w:rPr>
          <w:rFonts w:cs="Arial"/>
          <w:color w:val="365F91" w:themeColor="accent1" w:themeShade="BF"/>
        </w:rPr>
        <w:tab/>
      </w:r>
      <w:r w:rsidR="002345B3" w:rsidRPr="004B2AA4">
        <w:rPr>
          <w:rFonts w:cs="Arial"/>
          <w:color w:val="365F91" w:themeColor="accent1" w:themeShade="BF"/>
        </w:rPr>
        <w:t>Geltungsbereich</w:t>
      </w:r>
      <w:r w:rsidR="00DF5364" w:rsidRPr="004B2AA4">
        <w:rPr>
          <w:rFonts w:cs="Arial"/>
          <w:color w:val="365F91" w:themeColor="accent1" w:themeShade="BF"/>
        </w:rPr>
        <w:t xml:space="preserve"> und Vertragsabschuss</w:t>
      </w:r>
    </w:p>
    <w:p w:rsidR="00DF5364" w:rsidRPr="004B2AA4" w:rsidRDefault="000D30BD" w:rsidP="000D30BD">
      <w:pPr>
        <w:tabs>
          <w:tab w:val="left" w:pos="426"/>
        </w:tabs>
        <w:spacing w:after="60"/>
        <w:jc w:val="both"/>
        <w:rPr>
          <w:rFonts w:cs="Arial"/>
          <w:color w:val="365F91" w:themeColor="accent1" w:themeShade="BF"/>
        </w:rPr>
      </w:pPr>
      <w:r w:rsidRPr="004B2AA4">
        <w:rPr>
          <w:rFonts w:cs="Arial"/>
          <w:color w:val="365F91" w:themeColor="accent1" w:themeShade="BF"/>
        </w:rPr>
        <w:t>a)</w:t>
      </w:r>
      <w:r w:rsidRPr="004B2AA4">
        <w:rPr>
          <w:rFonts w:cs="Arial"/>
          <w:color w:val="365F91" w:themeColor="accent1" w:themeShade="BF"/>
        </w:rPr>
        <w:tab/>
      </w:r>
      <w:r w:rsidR="00DF5364" w:rsidRPr="004B2AA4">
        <w:rPr>
          <w:rFonts w:cs="Arial"/>
          <w:color w:val="365F91" w:themeColor="accent1" w:themeShade="BF"/>
        </w:rPr>
        <w:t>Anwendungsbereich</w:t>
      </w:r>
    </w:p>
    <w:p w:rsidR="002345B3" w:rsidRPr="004B2AA4" w:rsidRDefault="002345B3" w:rsidP="00BB700B">
      <w:pPr>
        <w:spacing w:after="120"/>
        <w:ind w:left="426"/>
        <w:jc w:val="both"/>
        <w:rPr>
          <w:rFonts w:cs="Arial"/>
        </w:rPr>
      </w:pPr>
      <w:r w:rsidRPr="004B2AA4">
        <w:rPr>
          <w:rFonts w:cs="Arial"/>
        </w:rPr>
        <w:t xml:space="preserve">Für Verträge über die Teilnahme an Veranstaltungen </w:t>
      </w:r>
      <w:r w:rsidR="00C15D6C" w:rsidRPr="004B2AA4">
        <w:rPr>
          <w:rFonts w:cs="Arial"/>
        </w:rPr>
        <w:t>des</w:t>
      </w:r>
      <w:r w:rsidR="002222A2" w:rsidRPr="004B2AA4">
        <w:rPr>
          <w:rFonts w:cs="Arial"/>
        </w:rPr>
        <w:t xml:space="preserve"> </w:t>
      </w:r>
      <w:r w:rsidR="002A15F1" w:rsidRPr="004B2AA4">
        <w:rPr>
          <w:rFonts w:cs="Arial"/>
        </w:rPr>
        <w:t>Veranstalter</w:t>
      </w:r>
      <w:r w:rsidR="00C15D6C" w:rsidRPr="004B2AA4">
        <w:rPr>
          <w:rFonts w:cs="Arial"/>
        </w:rPr>
        <w:t>s</w:t>
      </w:r>
      <w:r w:rsidRPr="004B2AA4">
        <w:rPr>
          <w:rFonts w:cs="Arial"/>
        </w:rPr>
        <w:t xml:space="preserve"> gelten </w:t>
      </w:r>
      <w:r w:rsidR="00DF5364" w:rsidRPr="004B2AA4">
        <w:rPr>
          <w:rFonts w:cs="Arial"/>
        </w:rPr>
        <w:t xml:space="preserve">ergänzend zu den </w:t>
      </w:r>
      <w:r w:rsidRPr="004B2AA4">
        <w:rPr>
          <w:rFonts w:cs="Arial"/>
        </w:rPr>
        <w:t>Regelungen i</w:t>
      </w:r>
      <w:r w:rsidR="00C15D6C" w:rsidRPr="004B2AA4">
        <w:rPr>
          <w:rFonts w:cs="Arial"/>
        </w:rPr>
        <w:t>n</w:t>
      </w:r>
      <w:r w:rsidRPr="004B2AA4">
        <w:rPr>
          <w:rFonts w:cs="Arial"/>
        </w:rPr>
        <w:t xml:space="preserve"> </w:t>
      </w:r>
      <w:r w:rsidR="00C15D6C" w:rsidRPr="004B2AA4">
        <w:rPr>
          <w:rFonts w:cs="Arial"/>
        </w:rPr>
        <w:t xml:space="preserve">den Schulungsprogrammen (gedruckte Veranstaltungsangebote </w:t>
      </w:r>
      <w:r w:rsidR="005D0E90" w:rsidRPr="004B2AA4">
        <w:rPr>
          <w:rFonts w:cs="Arial"/>
        </w:rPr>
        <w:t>und/</w:t>
      </w:r>
      <w:r w:rsidR="00C15D6C" w:rsidRPr="004B2AA4">
        <w:rPr>
          <w:rFonts w:cs="Arial"/>
        </w:rPr>
        <w:t>oder Veranstaltungsangebote auf der Internetseite des Veranstalters</w:t>
      </w:r>
      <w:r w:rsidR="00C86B4C" w:rsidRPr="004B2AA4">
        <w:rPr>
          <w:rFonts w:cs="Arial"/>
        </w:rPr>
        <w:t>)</w:t>
      </w:r>
      <w:r w:rsidR="00C15D6C" w:rsidRPr="004B2AA4">
        <w:rPr>
          <w:rFonts w:cs="Arial"/>
        </w:rPr>
        <w:t xml:space="preserve"> </w:t>
      </w:r>
      <w:r w:rsidR="005D0E90" w:rsidRPr="004B2AA4">
        <w:rPr>
          <w:rFonts w:cs="Arial"/>
        </w:rPr>
        <w:t>sowie</w:t>
      </w:r>
      <w:r w:rsidR="00C15D6C" w:rsidRPr="004B2AA4">
        <w:rPr>
          <w:rFonts w:cs="Arial"/>
        </w:rPr>
        <w:t xml:space="preserve"> dem </w:t>
      </w:r>
      <w:r w:rsidRPr="004B2AA4">
        <w:rPr>
          <w:rFonts w:cs="Arial"/>
        </w:rPr>
        <w:t>Anmeldeformular</w:t>
      </w:r>
      <w:r w:rsidR="00F53D80" w:rsidRPr="004B2AA4">
        <w:rPr>
          <w:rFonts w:cs="Arial"/>
        </w:rPr>
        <w:t xml:space="preserve"> </w:t>
      </w:r>
      <w:r w:rsidR="002A15F1" w:rsidRPr="004B2AA4">
        <w:rPr>
          <w:rFonts w:cs="Arial"/>
        </w:rPr>
        <w:t>des</w:t>
      </w:r>
      <w:r w:rsidR="00F53D80" w:rsidRPr="004B2AA4">
        <w:rPr>
          <w:rFonts w:cs="Arial"/>
        </w:rPr>
        <w:t xml:space="preserve"> </w:t>
      </w:r>
      <w:r w:rsidR="002A15F1" w:rsidRPr="004B2AA4">
        <w:rPr>
          <w:rFonts w:cs="Arial"/>
        </w:rPr>
        <w:t>Veranstalters</w:t>
      </w:r>
      <w:r w:rsidRPr="004B2AA4">
        <w:rPr>
          <w:rFonts w:cs="Arial"/>
        </w:rPr>
        <w:t xml:space="preserve"> die </w:t>
      </w:r>
      <w:r w:rsidR="00DF5364" w:rsidRPr="004B2AA4">
        <w:rPr>
          <w:rFonts w:cs="Arial"/>
        </w:rPr>
        <w:t>vorliegenden A</w:t>
      </w:r>
      <w:r w:rsidRPr="004B2AA4">
        <w:rPr>
          <w:rFonts w:cs="Arial"/>
        </w:rPr>
        <w:t xml:space="preserve">llgemeinen </w:t>
      </w:r>
      <w:r w:rsidR="002222A2" w:rsidRPr="004B2AA4">
        <w:rPr>
          <w:rFonts w:cs="Arial"/>
        </w:rPr>
        <w:t>Schulung</w:t>
      </w:r>
      <w:r w:rsidR="00DF5364" w:rsidRPr="004B2AA4">
        <w:rPr>
          <w:rFonts w:cs="Arial"/>
        </w:rPr>
        <w:t>sbedingungen</w:t>
      </w:r>
      <w:r w:rsidRPr="004B2AA4">
        <w:rPr>
          <w:rFonts w:cs="Arial"/>
        </w:rPr>
        <w:t>.</w:t>
      </w:r>
    </w:p>
    <w:p w:rsidR="00DF5364" w:rsidRPr="004B2AA4" w:rsidRDefault="000D30BD" w:rsidP="000D30BD">
      <w:pPr>
        <w:tabs>
          <w:tab w:val="left" w:pos="426"/>
        </w:tabs>
        <w:spacing w:after="60"/>
        <w:jc w:val="both"/>
        <w:rPr>
          <w:rFonts w:cs="Arial"/>
          <w:color w:val="365F91" w:themeColor="accent1" w:themeShade="BF"/>
        </w:rPr>
      </w:pPr>
      <w:r w:rsidRPr="004B2AA4">
        <w:rPr>
          <w:rFonts w:cs="Arial"/>
          <w:color w:val="365F91" w:themeColor="accent1" w:themeShade="BF"/>
        </w:rPr>
        <w:t>b)</w:t>
      </w:r>
      <w:r w:rsidRPr="004B2AA4">
        <w:rPr>
          <w:rFonts w:cs="Arial"/>
          <w:color w:val="365F91" w:themeColor="accent1" w:themeShade="BF"/>
        </w:rPr>
        <w:tab/>
      </w:r>
      <w:r w:rsidR="00DF5364" w:rsidRPr="004B2AA4">
        <w:rPr>
          <w:rFonts w:cs="Arial"/>
          <w:color w:val="365F91" w:themeColor="accent1" w:themeShade="BF"/>
        </w:rPr>
        <w:t>Vertragsabschluss</w:t>
      </w:r>
    </w:p>
    <w:p w:rsidR="002345B3" w:rsidRPr="004B2AA4" w:rsidRDefault="00C552BE" w:rsidP="00BB700B">
      <w:pPr>
        <w:spacing w:after="120"/>
        <w:ind w:left="426"/>
        <w:jc w:val="both"/>
        <w:rPr>
          <w:rFonts w:cs="Arial"/>
        </w:rPr>
      </w:pPr>
      <w:r w:rsidRPr="004B2AA4">
        <w:rPr>
          <w:rFonts w:cs="Arial"/>
        </w:rPr>
        <w:t xml:space="preserve">Falls nichts Abweichendes angegeben, sind alle Angebote des Veranstalters unverbindlich. </w:t>
      </w:r>
      <w:r w:rsidR="002345B3" w:rsidRPr="004B2AA4">
        <w:rPr>
          <w:rFonts w:cs="Arial"/>
        </w:rPr>
        <w:t xml:space="preserve">Ein Vertrag über die Teilnahme an Veranstaltungen </w:t>
      </w:r>
      <w:r w:rsidR="004A53AE" w:rsidRPr="004B2AA4">
        <w:rPr>
          <w:rFonts w:cs="Arial"/>
        </w:rPr>
        <w:t>vo</w:t>
      </w:r>
      <w:r w:rsidR="002A15F1" w:rsidRPr="004B2AA4">
        <w:rPr>
          <w:rFonts w:cs="Arial"/>
        </w:rPr>
        <w:t>m</w:t>
      </w:r>
      <w:r w:rsidR="004A53AE" w:rsidRPr="004B2AA4">
        <w:rPr>
          <w:rFonts w:cs="Arial"/>
        </w:rPr>
        <w:t xml:space="preserve"> </w:t>
      </w:r>
      <w:r w:rsidR="002A15F1" w:rsidRPr="004B2AA4">
        <w:rPr>
          <w:rFonts w:cs="Arial"/>
        </w:rPr>
        <w:t>Veranstalter</w:t>
      </w:r>
      <w:r w:rsidR="002345B3" w:rsidRPr="004B2AA4">
        <w:rPr>
          <w:rFonts w:cs="Arial"/>
        </w:rPr>
        <w:t xml:space="preserve"> kommt erst zustande, nachdem </w:t>
      </w:r>
      <w:r w:rsidR="002A15F1" w:rsidRPr="004B2AA4">
        <w:rPr>
          <w:rFonts w:cs="Arial"/>
        </w:rPr>
        <w:t>der Veranstalter</w:t>
      </w:r>
      <w:r w:rsidR="002345B3" w:rsidRPr="004B2AA4">
        <w:rPr>
          <w:rFonts w:cs="Arial"/>
        </w:rPr>
        <w:t xml:space="preserve"> die Anmeldung gegenüber dem/der Teilnehmer/in schriftlich bestätigt hat. Änderungen und/oder Ergänzungen des Vertrages bedürfen der </w:t>
      </w:r>
      <w:r w:rsidR="002A15F1" w:rsidRPr="004B2AA4">
        <w:rPr>
          <w:rFonts w:cs="Arial"/>
        </w:rPr>
        <w:t>Text</w:t>
      </w:r>
      <w:r w:rsidR="002345B3" w:rsidRPr="004B2AA4">
        <w:rPr>
          <w:rFonts w:cs="Arial"/>
        </w:rPr>
        <w:t>form.</w:t>
      </w:r>
    </w:p>
    <w:p w:rsidR="00DF5364" w:rsidRPr="004B2AA4" w:rsidRDefault="00DF5364" w:rsidP="000D30BD">
      <w:pPr>
        <w:tabs>
          <w:tab w:val="left" w:pos="426"/>
        </w:tabs>
        <w:spacing w:after="60"/>
        <w:jc w:val="both"/>
        <w:rPr>
          <w:rFonts w:cs="Arial"/>
          <w:color w:val="365F91" w:themeColor="accent1" w:themeShade="BF"/>
        </w:rPr>
      </w:pPr>
      <w:r w:rsidRPr="004B2AA4">
        <w:rPr>
          <w:rFonts w:cs="Arial"/>
          <w:color w:val="365F91" w:themeColor="accent1" w:themeShade="BF"/>
        </w:rPr>
        <w:t>c</w:t>
      </w:r>
      <w:r w:rsidR="000D30BD" w:rsidRPr="004B2AA4">
        <w:rPr>
          <w:rFonts w:cs="Arial"/>
          <w:color w:val="365F91" w:themeColor="accent1" w:themeShade="BF"/>
        </w:rPr>
        <w:t>)</w:t>
      </w:r>
      <w:r w:rsidR="000D30BD" w:rsidRPr="004B2AA4">
        <w:rPr>
          <w:rFonts w:cs="Arial"/>
          <w:color w:val="365F91" w:themeColor="accent1" w:themeShade="BF"/>
        </w:rPr>
        <w:tab/>
      </w:r>
      <w:r w:rsidRPr="004B2AA4">
        <w:rPr>
          <w:rFonts w:cs="Arial"/>
          <w:color w:val="365F91" w:themeColor="accent1" w:themeShade="BF"/>
        </w:rPr>
        <w:t>Individuelle Vereinbarungen</w:t>
      </w:r>
    </w:p>
    <w:p w:rsidR="002345B3" w:rsidRPr="004B2AA4" w:rsidRDefault="00DF5364" w:rsidP="00BB700B">
      <w:pPr>
        <w:spacing w:after="120"/>
        <w:ind w:left="426"/>
        <w:jc w:val="both"/>
        <w:rPr>
          <w:rFonts w:cs="Arial"/>
          <w:spacing w:val="-4"/>
        </w:rPr>
      </w:pPr>
      <w:r w:rsidRPr="004B2AA4">
        <w:rPr>
          <w:rFonts w:cs="Arial"/>
          <w:spacing w:val="-4"/>
        </w:rPr>
        <w:t>Im Einzelfall getroffene, individuelle Vereinbarunge</w:t>
      </w:r>
      <w:r w:rsidR="002345B3" w:rsidRPr="004B2AA4">
        <w:rPr>
          <w:rFonts w:cs="Arial"/>
          <w:spacing w:val="-4"/>
        </w:rPr>
        <w:t xml:space="preserve">n </w:t>
      </w:r>
      <w:r w:rsidRPr="004B2AA4">
        <w:rPr>
          <w:rFonts w:cs="Arial"/>
          <w:spacing w:val="-4"/>
        </w:rPr>
        <w:t xml:space="preserve">haben in jedem Fall Vorrang vor diesen Allgemeinen </w:t>
      </w:r>
      <w:r w:rsidR="004A53AE" w:rsidRPr="004B2AA4">
        <w:rPr>
          <w:rFonts w:cs="Arial"/>
          <w:spacing w:val="-4"/>
        </w:rPr>
        <w:t>Schulungs</w:t>
      </w:r>
      <w:r w:rsidRPr="004B2AA4">
        <w:rPr>
          <w:rFonts w:cs="Arial"/>
          <w:spacing w:val="-4"/>
        </w:rPr>
        <w:t xml:space="preserve">bedingungen. Für den Inhalt derartiger Vereinbarungen ist unsere schriftliche Bestätigung </w:t>
      </w:r>
      <w:r w:rsidR="002A15F1" w:rsidRPr="004B2AA4">
        <w:rPr>
          <w:rFonts w:cs="Arial"/>
          <w:spacing w:val="-4"/>
        </w:rPr>
        <w:t xml:space="preserve">in Textform </w:t>
      </w:r>
      <w:r w:rsidRPr="004B2AA4">
        <w:rPr>
          <w:rFonts w:cs="Arial"/>
          <w:spacing w:val="-4"/>
        </w:rPr>
        <w:t>maßgebend.</w:t>
      </w:r>
    </w:p>
    <w:p w:rsidR="002A15F1" w:rsidRPr="004B2AA4" w:rsidRDefault="000D30BD" w:rsidP="000D30BD">
      <w:pPr>
        <w:tabs>
          <w:tab w:val="left" w:pos="426"/>
        </w:tabs>
        <w:spacing w:after="60"/>
        <w:jc w:val="both"/>
        <w:rPr>
          <w:rFonts w:cs="Arial"/>
          <w:color w:val="365F91" w:themeColor="accent1" w:themeShade="BF"/>
        </w:rPr>
      </w:pPr>
      <w:r w:rsidRPr="004B2AA4">
        <w:rPr>
          <w:rFonts w:cs="Arial"/>
          <w:color w:val="365F91" w:themeColor="accent1" w:themeShade="BF"/>
        </w:rPr>
        <w:t>d)</w:t>
      </w:r>
      <w:r w:rsidRPr="004B2AA4">
        <w:rPr>
          <w:rFonts w:cs="Arial"/>
          <w:color w:val="365F91" w:themeColor="accent1" w:themeShade="BF"/>
        </w:rPr>
        <w:tab/>
      </w:r>
      <w:r w:rsidR="002A15F1" w:rsidRPr="004B2AA4">
        <w:rPr>
          <w:rFonts w:cs="Arial"/>
          <w:color w:val="365F91" w:themeColor="accent1" w:themeShade="BF"/>
        </w:rPr>
        <w:t>Persönlicher Anwendungsbereich</w:t>
      </w:r>
    </w:p>
    <w:p w:rsidR="002A15F1" w:rsidRPr="004B2AA4" w:rsidRDefault="003B6BAA" w:rsidP="00BB700B">
      <w:pPr>
        <w:spacing w:after="120"/>
        <w:ind w:left="426"/>
        <w:jc w:val="both"/>
        <w:rPr>
          <w:rFonts w:cs="Arial"/>
        </w:rPr>
      </w:pPr>
      <w:r w:rsidRPr="004B2AA4">
        <w:rPr>
          <w:rFonts w:cs="Arial"/>
        </w:rPr>
        <w:t>Diese Schulungsbedingungen gelten nur gegenüber Unternehmen, juristischen Personen des öffentlichen Rechts sowie gegenüber einem öffentlich-rechtlichen Sondervermögen gemäß § 310 Abs. 1 BGB.</w:t>
      </w:r>
    </w:p>
    <w:p w:rsidR="002E5F09" w:rsidRPr="004B2AA4" w:rsidRDefault="000D30BD" w:rsidP="000D30BD">
      <w:pPr>
        <w:tabs>
          <w:tab w:val="left" w:pos="426"/>
        </w:tabs>
        <w:spacing w:after="60"/>
        <w:jc w:val="both"/>
        <w:rPr>
          <w:rFonts w:cs="Arial"/>
          <w:color w:val="365F91" w:themeColor="accent1" w:themeShade="BF"/>
        </w:rPr>
      </w:pPr>
      <w:r w:rsidRPr="004B2AA4">
        <w:rPr>
          <w:rFonts w:cs="Arial"/>
          <w:color w:val="365F91" w:themeColor="accent1" w:themeShade="BF"/>
        </w:rPr>
        <w:t>e)</w:t>
      </w:r>
      <w:r w:rsidRPr="004B2AA4">
        <w:rPr>
          <w:rFonts w:cs="Arial"/>
          <w:color w:val="365F91" w:themeColor="accent1" w:themeShade="BF"/>
        </w:rPr>
        <w:tab/>
      </w:r>
      <w:r w:rsidR="002E5F09" w:rsidRPr="004B2AA4">
        <w:rPr>
          <w:rFonts w:cs="Arial"/>
          <w:color w:val="365F91" w:themeColor="accent1" w:themeShade="BF"/>
        </w:rPr>
        <w:t>Räumlicher Anwendungsbereich</w:t>
      </w:r>
    </w:p>
    <w:p w:rsidR="002E5F09" w:rsidRPr="004B2AA4" w:rsidRDefault="002E5F09" w:rsidP="00BB700B">
      <w:pPr>
        <w:spacing w:after="120"/>
        <w:ind w:left="426"/>
        <w:jc w:val="both"/>
        <w:rPr>
          <w:rFonts w:cs="Arial"/>
        </w:rPr>
      </w:pPr>
      <w:r w:rsidRPr="004B2AA4">
        <w:rPr>
          <w:rFonts w:cs="Arial"/>
        </w:rPr>
        <w:t>Diese Schulungsbedingungen gelten für alle vom Veranstalter durchgeführten Veranstaltungen, unabhängig davon, ob diese in den Räumlichkeiten beim Veranstalter oder beim teilnehmenden Vertragspartner oder auch bei einem Dritten stattfinden.</w:t>
      </w:r>
    </w:p>
    <w:p w:rsidR="002345B3" w:rsidRPr="004B2AA4" w:rsidRDefault="00A0237C" w:rsidP="000D30BD">
      <w:pPr>
        <w:tabs>
          <w:tab w:val="left" w:pos="426"/>
        </w:tabs>
        <w:spacing w:after="60"/>
        <w:jc w:val="both"/>
        <w:rPr>
          <w:rFonts w:cs="Arial"/>
          <w:color w:val="365F91" w:themeColor="accent1" w:themeShade="BF"/>
          <w:spacing w:val="-4"/>
        </w:rPr>
      </w:pPr>
      <w:r w:rsidRPr="004B2AA4">
        <w:rPr>
          <w:rFonts w:cs="Arial"/>
          <w:color w:val="365F91" w:themeColor="accent1" w:themeShade="BF"/>
          <w:spacing w:val="-4"/>
        </w:rPr>
        <w:t>2</w:t>
      </w:r>
      <w:r w:rsidR="000D30BD" w:rsidRPr="004B2AA4">
        <w:rPr>
          <w:rFonts w:cs="Arial"/>
          <w:color w:val="365F91" w:themeColor="accent1" w:themeShade="BF"/>
          <w:spacing w:val="-4"/>
        </w:rPr>
        <w:t>.</w:t>
      </w:r>
      <w:r w:rsidR="000D30BD" w:rsidRPr="004B2AA4">
        <w:rPr>
          <w:rFonts w:cs="Arial"/>
          <w:color w:val="365F91" w:themeColor="accent1" w:themeShade="BF"/>
          <w:spacing w:val="-4"/>
        </w:rPr>
        <w:tab/>
      </w:r>
      <w:r w:rsidR="002345B3" w:rsidRPr="004B2AA4">
        <w:rPr>
          <w:rFonts w:cs="Arial"/>
          <w:color w:val="365F91" w:themeColor="accent1" w:themeShade="BF"/>
          <w:spacing w:val="-4"/>
        </w:rPr>
        <w:t>Preise</w:t>
      </w:r>
      <w:r w:rsidR="00BB1CEA" w:rsidRPr="004B2AA4">
        <w:rPr>
          <w:rFonts w:cs="Arial"/>
          <w:color w:val="365F91" w:themeColor="accent1" w:themeShade="BF"/>
          <w:spacing w:val="-4"/>
        </w:rPr>
        <w:t xml:space="preserve">, </w:t>
      </w:r>
      <w:r w:rsidR="002345B3" w:rsidRPr="004B2AA4">
        <w:rPr>
          <w:rFonts w:cs="Arial"/>
          <w:color w:val="365F91" w:themeColor="accent1" w:themeShade="BF"/>
          <w:spacing w:val="-4"/>
        </w:rPr>
        <w:t>Gebühren</w:t>
      </w:r>
      <w:r w:rsidR="00BB1CEA" w:rsidRPr="004B2AA4">
        <w:rPr>
          <w:rFonts w:cs="Arial"/>
          <w:color w:val="365F91" w:themeColor="accent1" w:themeShade="BF"/>
          <w:spacing w:val="-4"/>
        </w:rPr>
        <w:t xml:space="preserve"> und Zahlungsbedingungen</w:t>
      </w:r>
    </w:p>
    <w:p w:rsidR="002345B3" w:rsidRPr="004B2AA4" w:rsidRDefault="00F86DBF" w:rsidP="00BB700B">
      <w:pPr>
        <w:tabs>
          <w:tab w:val="left" w:pos="720"/>
        </w:tabs>
        <w:spacing w:after="120"/>
        <w:ind w:left="426"/>
        <w:jc w:val="both"/>
        <w:rPr>
          <w:rFonts w:cs="Arial"/>
          <w:spacing w:val="-2"/>
        </w:rPr>
      </w:pPr>
      <w:r w:rsidRPr="004B2AA4">
        <w:rPr>
          <w:rFonts w:cs="Arial"/>
          <w:spacing w:val="-2"/>
        </w:rPr>
        <w:t>Alle hier und in den Prospekten</w:t>
      </w:r>
      <w:r w:rsidR="00A0237C" w:rsidRPr="004B2AA4">
        <w:rPr>
          <w:rFonts w:cs="Arial"/>
          <w:spacing w:val="-2"/>
        </w:rPr>
        <w:t>, Angeboten</w:t>
      </w:r>
      <w:r w:rsidRPr="004B2AA4">
        <w:rPr>
          <w:rFonts w:cs="Arial"/>
          <w:spacing w:val="-2"/>
        </w:rPr>
        <w:t xml:space="preserve"> etc. </w:t>
      </w:r>
      <w:r w:rsidR="002345B3" w:rsidRPr="004B2AA4">
        <w:rPr>
          <w:rFonts w:cs="Arial"/>
          <w:spacing w:val="-2"/>
        </w:rPr>
        <w:t>angegebene</w:t>
      </w:r>
      <w:r w:rsidRPr="004B2AA4">
        <w:rPr>
          <w:rFonts w:cs="Arial"/>
          <w:spacing w:val="-2"/>
        </w:rPr>
        <w:t>n</w:t>
      </w:r>
      <w:r w:rsidR="005D0E90" w:rsidRPr="004B2AA4">
        <w:rPr>
          <w:rFonts w:cs="Arial"/>
          <w:spacing w:val="-2"/>
        </w:rPr>
        <w:t xml:space="preserve"> Preise</w:t>
      </w:r>
      <w:r w:rsidR="002345B3" w:rsidRPr="004B2AA4">
        <w:rPr>
          <w:rFonts w:cs="Arial"/>
          <w:spacing w:val="-2"/>
        </w:rPr>
        <w:t xml:space="preserve"> und Gebühren (</w:t>
      </w:r>
      <w:r w:rsidR="00DF5364" w:rsidRPr="004B2AA4">
        <w:rPr>
          <w:rFonts w:cs="Arial"/>
          <w:spacing w:val="-2"/>
        </w:rPr>
        <w:t xml:space="preserve">einschließlich </w:t>
      </w:r>
      <w:r w:rsidR="002345B3" w:rsidRPr="004B2AA4">
        <w:rPr>
          <w:rFonts w:cs="Arial"/>
          <w:spacing w:val="-2"/>
        </w:rPr>
        <w:t xml:space="preserve">Stornogebühren) </w:t>
      </w:r>
      <w:r w:rsidR="00DF5364" w:rsidRPr="004B2AA4">
        <w:rPr>
          <w:rFonts w:cs="Arial"/>
          <w:spacing w:val="-2"/>
        </w:rPr>
        <w:t>verstehen sich jeweils z</w:t>
      </w:r>
      <w:r w:rsidR="002345B3" w:rsidRPr="004B2AA4">
        <w:rPr>
          <w:rFonts w:cs="Arial"/>
          <w:spacing w:val="-2"/>
        </w:rPr>
        <w:t xml:space="preserve">uzüglich </w:t>
      </w:r>
      <w:r w:rsidR="00DF5364" w:rsidRPr="004B2AA4">
        <w:rPr>
          <w:rFonts w:cs="Arial"/>
          <w:spacing w:val="-2"/>
        </w:rPr>
        <w:t xml:space="preserve">der </w:t>
      </w:r>
      <w:r w:rsidR="002345B3" w:rsidRPr="004B2AA4">
        <w:rPr>
          <w:rFonts w:cs="Arial"/>
          <w:spacing w:val="-2"/>
        </w:rPr>
        <w:t>gesetzliche</w:t>
      </w:r>
      <w:r w:rsidR="00DF5364" w:rsidRPr="004B2AA4">
        <w:rPr>
          <w:rFonts w:cs="Arial"/>
          <w:spacing w:val="-2"/>
        </w:rPr>
        <w:t>n</w:t>
      </w:r>
      <w:r w:rsidR="002345B3" w:rsidRPr="004B2AA4">
        <w:rPr>
          <w:rFonts w:cs="Arial"/>
          <w:spacing w:val="-2"/>
        </w:rPr>
        <w:t xml:space="preserve"> Mehrwertsteuer.</w:t>
      </w:r>
    </w:p>
    <w:p w:rsidR="00BB1CEA" w:rsidRPr="004B2AA4" w:rsidRDefault="00BB1CEA" w:rsidP="00BB700B">
      <w:pPr>
        <w:tabs>
          <w:tab w:val="left" w:pos="720"/>
        </w:tabs>
        <w:spacing w:after="120"/>
        <w:ind w:left="426"/>
        <w:jc w:val="both"/>
        <w:rPr>
          <w:rFonts w:cs="Arial"/>
          <w:spacing w:val="-2"/>
        </w:rPr>
      </w:pPr>
      <w:r w:rsidRPr="004B2AA4">
        <w:rPr>
          <w:rFonts w:cs="Arial"/>
          <w:spacing w:val="-2"/>
        </w:rPr>
        <w:t>Alle Rechnungen sind innerhalb von 10 Werktagen nach Zugang beim Teilnehmer zur Zahlung fällig. Der Rechnungsbetrag ist ohne Abzug zu zahlen.</w:t>
      </w:r>
    </w:p>
    <w:p w:rsidR="00BB1CEA" w:rsidRPr="004B2AA4" w:rsidRDefault="003B6BAA" w:rsidP="00BB700B">
      <w:pPr>
        <w:tabs>
          <w:tab w:val="left" w:pos="720"/>
        </w:tabs>
        <w:spacing w:after="120"/>
        <w:ind w:left="426"/>
        <w:jc w:val="both"/>
        <w:rPr>
          <w:rFonts w:cs="Arial"/>
          <w:spacing w:val="-2"/>
        </w:rPr>
      </w:pPr>
      <w:r w:rsidRPr="004B2AA4">
        <w:rPr>
          <w:rFonts w:cs="Arial"/>
          <w:spacing w:val="-2"/>
        </w:rPr>
        <w:t>Der Veranstalter ist</w:t>
      </w:r>
      <w:r w:rsidR="00BB1CEA" w:rsidRPr="004B2AA4">
        <w:rPr>
          <w:rFonts w:cs="Arial"/>
          <w:spacing w:val="-2"/>
        </w:rPr>
        <w:t xml:space="preserve"> berechtigt, vor Beginn der Veranstaltung </w:t>
      </w:r>
      <w:r w:rsidR="002E5F09" w:rsidRPr="004B2AA4">
        <w:rPr>
          <w:rFonts w:cs="Arial"/>
          <w:spacing w:val="-2"/>
        </w:rPr>
        <w:t xml:space="preserve">die vollständige Veranstaltungsgebühr </w:t>
      </w:r>
      <w:r w:rsidR="00BB1CEA" w:rsidRPr="004B2AA4">
        <w:rPr>
          <w:rFonts w:cs="Arial"/>
          <w:spacing w:val="-2"/>
        </w:rPr>
        <w:t>zu verlangen.</w:t>
      </w:r>
    </w:p>
    <w:p w:rsidR="000D30BD" w:rsidRPr="004B2AA4" w:rsidRDefault="00BB1CEA" w:rsidP="004B2AA4">
      <w:pPr>
        <w:tabs>
          <w:tab w:val="left" w:pos="720"/>
        </w:tabs>
        <w:spacing w:after="120"/>
        <w:ind w:left="426"/>
        <w:jc w:val="both"/>
        <w:rPr>
          <w:rFonts w:cs="Arial"/>
          <w:color w:val="365F91" w:themeColor="accent1" w:themeShade="BF"/>
        </w:rPr>
      </w:pPr>
      <w:r w:rsidRPr="004B2AA4">
        <w:rPr>
          <w:rFonts w:cs="Arial"/>
          <w:spacing w:val="-2"/>
        </w:rPr>
        <w:t>Die Zurückbehaltung von Zahlungen oder die Aufrechnung mit Forderungen, die vo</w:t>
      </w:r>
      <w:r w:rsidR="003B6BAA" w:rsidRPr="004B2AA4">
        <w:rPr>
          <w:rFonts w:cs="Arial"/>
          <w:spacing w:val="-2"/>
        </w:rPr>
        <w:t>m Veranstalter</w:t>
      </w:r>
      <w:r w:rsidRPr="004B2AA4">
        <w:rPr>
          <w:rFonts w:cs="Arial"/>
          <w:spacing w:val="-2"/>
        </w:rPr>
        <w:t xml:space="preserve"> bestritten werden, nicht anerkannt werden, nicht rechtskräftig festgestellt sind oder nicht in einem rechtshängigen Verfahren entscheidungsreif sind, ist ausgeschlossen.</w:t>
      </w:r>
      <w:r w:rsidR="000D30BD" w:rsidRPr="004B2AA4">
        <w:rPr>
          <w:rFonts w:cs="Arial"/>
          <w:color w:val="365F91" w:themeColor="accent1" w:themeShade="BF"/>
        </w:rPr>
        <w:br w:type="page"/>
      </w:r>
    </w:p>
    <w:p w:rsidR="00C552BE" w:rsidRPr="004B2AA4" w:rsidRDefault="00A0237C" w:rsidP="000D30BD">
      <w:pPr>
        <w:tabs>
          <w:tab w:val="left" w:pos="426"/>
        </w:tabs>
        <w:spacing w:after="120"/>
        <w:jc w:val="both"/>
        <w:rPr>
          <w:rFonts w:cs="Arial"/>
          <w:color w:val="365F91" w:themeColor="accent1" w:themeShade="BF"/>
        </w:rPr>
      </w:pPr>
      <w:r w:rsidRPr="004B2AA4">
        <w:rPr>
          <w:rFonts w:cs="Arial"/>
          <w:color w:val="365F91" w:themeColor="accent1" w:themeShade="BF"/>
        </w:rPr>
        <w:lastRenderedPageBreak/>
        <w:t>3</w:t>
      </w:r>
      <w:r w:rsidR="000D30BD" w:rsidRPr="004B2AA4">
        <w:rPr>
          <w:rFonts w:cs="Arial"/>
          <w:color w:val="365F91" w:themeColor="accent1" w:themeShade="BF"/>
        </w:rPr>
        <w:t>.</w:t>
      </w:r>
      <w:r w:rsidR="000D30BD" w:rsidRPr="004B2AA4">
        <w:rPr>
          <w:rFonts w:cs="Arial"/>
          <w:color w:val="365F91" w:themeColor="accent1" w:themeShade="BF"/>
        </w:rPr>
        <w:tab/>
      </w:r>
      <w:r w:rsidR="00C552BE" w:rsidRPr="004B2AA4">
        <w:rPr>
          <w:rFonts w:cs="Arial"/>
          <w:color w:val="365F91" w:themeColor="accent1" w:themeShade="BF"/>
        </w:rPr>
        <w:t>Rücktritt des Teilnehmers</w:t>
      </w:r>
    </w:p>
    <w:p w:rsidR="00C552BE" w:rsidRPr="004B2AA4" w:rsidRDefault="00C552BE" w:rsidP="00BB700B">
      <w:pPr>
        <w:spacing w:after="60"/>
        <w:ind w:left="426"/>
        <w:jc w:val="both"/>
        <w:rPr>
          <w:rFonts w:cs="Arial"/>
        </w:rPr>
      </w:pPr>
      <w:r w:rsidRPr="004B2AA4">
        <w:rPr>
          <w:rFonts w:cs="Arial"/>
        </w:rPr>
        <w:t xml:space="preserve">Tritt der Teilnehmer nach verbindlicher Anmeldung </w:t>
      </w:r>
      <w:r w:rsidR="000B2CEB" w:rsidRPr="004B2AA4">
        <w:rPr>
          <w:rFonts w:cs="Arial"/>
        </w:rPr>
        <w:t>von</w:t>
      </w:r>
      <w:r w:rsidRPr="004B2AA4">
        <w:rPr>
          <w:rFonts w:cs="Arial"/>
        </w:rPr>
        <w:t xml:space="preserve"> einer Veranstaltung zurück, werden vom Veranstalter folgende Gebühren erhoben:</w:t>
      </w:r>
    </w:p>
    <w:p w:rsidR="00C552BE" w:rsidRPr="004B2AA4" w:rsidRDefault="000D30BD" w:rsidP="00BB700B">
      <w:pPr>
        <w:tabs>
          <w:tab w:val="left" w:pos="851"/>
        </w:tabs>
        <w:spacing w:after="60"/>
        <w:ind w:left="426"/>
        <w:jc w:val="both"/>
        <w:rPr>
          <w:rFonts w:cs="Arial"/>
        </w:rPr>
      </w:pPr>
      <w:r w:rsidRPr="004B2AA4">
        <w:rPr>
          <w:rFonts w:cs="Arial"/>
        </w:rPr>
        <w:t>a)</w:t>
      </w:r>
      <w:r w:rsidRPr="004B2AA4">
        <w:rPr>
          <w:rFonts w:cs="Arial"/>
        </w:rPr>
        <w:tab/>
      </w:r>
      <w:r w:rsidR="00C552BE" w:rsidRPr="004B2AA4">
        <w:rPr>
          <w:rFonts w:cs="Arial"/>
        </w:rPr>
        <w:t>bis 15 Werktage vor Beginn der Veranstaltung: 30 % der vollen Gebühr,</w:t>
      </w:r>
    </w:p>
    <w:p w:rsidR="00C552BE" w:rsidRPr="004B2AA4" w:rsidRDefault="000D30BD" w:rsidP="00BB700B">
      <w:pPr>
        <w:tabs>
          <w:tab w:val="left" w:pos="851"/>
        </w:tabs>
        <w:spacing w:after="60"/>
        <w:ind w:left="426"/>
        <w:jc w:val="both"/>
        <w:rPr>
          <w:rFonts w:cs="Arial"/>
        </w:rPr>
      </w:pPr>
      <w:r w:rsidRPr="004B2AA4">
        <w:rPr>
          <w:rFonts w:cs="Arial"/>
        </w:rPr>
        <w:t>b)</w:t>
      </w:r>
      <w:r w:rsidRPr="004B2AA4">
        <w:rPr>
          <w:rFonts w:cs="Arial"/>
        </w:rPr>
        <w:tab/>
      </w:r>
      <w:r w:rsidR="00C552BE" w:rsidRPr="004B2AA4">
        <w:rPr>
          <w:rFonts w:cs="Arial"/>
        </w:rPr>
        <w:t>bis 8 Werktage vor Beginn der Veranstaltung: 50 % der vollen Gebühr,</w:t>
      </w:r>
    </w:p>
    <w:p w:rsidR="00C552BE" w:rsidRPr="004B2AA4" w:rsidRDefault="000D30BD" w:rsidP="00BB700B">
      <w:pPr>
        <w:tabs>
          <w:tab w:val="left" w:pos="851"/>
        </w:tabs>
        <w:spacing w:after="120"/>
        <w:ind w:left="426"/>
        <w:jc w:val="both"/>
        <w:rPr>
          <w:rFonts w:cs="Arial"/>
        </w:rPr>
      </w:pPr>
      <w:r w:rsidRPr="004B2AA4">
        <w:rPr>
          <w:rFonts w:cs="Arial"/>
        </w:rPr>
        <w:t>c)</w:t>
      </w:r>
      <w:r w:rsidRPr="004B2AA4">
        <w:rPr>
          <w:rFonts w:cs="Arial"/>
        </w:rPr>
        <w:tab/>
      </w:r>
      <w:r w:rsidR="00C552BE" w:rsidRPr="004B2AA4">
        <w:rPr>
          <w:rFonts w:cs="Arial"/>
        </w:rPr>
        <w:t>danach: 100 % der vollen Gebühr.</w:t>
      </w:r>
    </w:p>
    <w:p w:rsidR="00C552BE" w:rsidRPr="004B2AA4" w:rsidRDefault="00C552BE" w:rsidP="00BB700B">
      <w:pPr>
        <w:spacing w:after="120"/>
        <w:ind w:left="426"/>
        <w:jc w:val="both"/>
        <w:rPr>
          <w:rFonts w:cs="Arial"/>
        </w:rPr>
      </w:pPr>
      <w:r w:rsidRPr="004B2AA4">
        <w:rPr>
          <w:rFonts w:cs="Arial"/>
        </w:rPr>
        <w:t>Vorstehende Regelung gilt nicht, falls der vom Teilnehmer vorgenommene Rücktritt vom Veranstalter zu vertreten ist.</w:t>
      </w:r>
    </w:p>
    <w:p w:rsidR="002345B3" w:rsidRPr="004B2AA4" w:rsidRDefault="00C552BE" w:rsidP="000D30BD">
      <w:pPr>
        <w:tabs>
          <w:tab w:val="left" w:pos="426"/>
        </w:tabs>
        <w:spacing w:after="120"/>
        <w:jc w:val="both"/>
        <w:rPr>
          <w:rFonts w:cs="Arial"/>
          <w:color w:val="365F91" w:themeColor="accent1" w:themeShade="BF"/>
        </w:rPr>
      </w:pPr>
      <w:r w:rsidRPr="004B2AA4">
        <w:rPr>
          <w:rFonts w:cs="Arial"/>
          <w:color w:val="365F91" w:themeColor="accent1" w:themeShade="BF"/>
        </w:rPr>
        <w:t>4.</w:t>
      </w:r>
      <w:r w:rsidR="000D30BD" w:rsidRPr="004B2AA4">
        <w:rPr>
          <w:rFonts w:cs="Arial"/>
          <w:color w:val="365F91" w:themeColor="accent1" w:themeShade="BF"/>
        </w:rPr>
        <w:tab/>
      </w:r>
      <w:r w:rsidR="002345B3" w:rsidRPr="004B2AA4">
        <w:rPr>
          <w:rFonts w:cs="Arial"/>
          <w:color w:val="365F91" w:themeColor="accent1" w:themeShade="BF"/>
        </w:rPr>
        <w:t>Absagen von Veranstaltungen</w:t>
      </w:r>
    </w:p>
    <w:p w:rsidR="002345B3" w:rsidRPr="004B2AA4" w:rsidRDefault="003B6BAA" w:rsidP="00BB700B">
      <w:pPr>
        <w:spacing w:after="120"/>
        <w:ind w:left="426"/>
        <w:jc w:val="both"/>
        <w:rPr>
          <w:rFonts w:cs="Arial"/>
          <w:spacing w:val="-2"/>
        </w:rPr>
      </w:pPr>
      <w:r w:rsidRPr="004B2AA4">
        <w:rPr>
          <w:rFonts w:cs="Arial"/>
          <w:spacing w:val="-2"/>
        </w:rPr>
        <w:t xml:space="preserve">Der </w:t>
      </w:r>
      <w:r w:rsidR="002A15F1" w:rsidRPr="004B2AA4">
        <w:rPr>
          <w:rFonts w:cs="Arial"/>
          <w:spacing w:val="-2"/>
        </w:rPr>
        <w:t>Veranstalter</w:t>
      </w:r>
      <w:r w:rsidR="002345B3" w:rsidRPr="004B2AA4">
        <w:rPr>
          <w:rFonts w:cs="Arial"/>
          <w:spacing w:val="-2"/>
        </w:rPr>
        <w:t xml:space="preserve"> ist berechtigt, eine Veranstaltung </w:t>
      </w:r>
      <w:r w:rsidR="00A1582D" w:rsidRPr="004B2AA4">
        <w:rPr>
          <w:rFonts w:cs="Arial"/>
          <w:spacing w:val="-2"/>
        </w:rPr>
        <w:t xml:space="preserve">wegen zu geringer Nachfrage (was nicht später als eine Woche vor der Veranstaltung erfolgen soll) oder infolge </w:t>
      </w:r>
      <w:r w:rsidR="00013873" w:rsidRPr="004B2AA4">
        <w:rPr>
          <w:rFonts w:cs="Arial"/>
          <w:spacing w:val="-2"/>
        </w:rPr>
        <w:t>H</w:t>
      </w:r>
      <w:r w:rsidR="00A1582D" w:rsidRPr="004B2AA4">
        <w:rPr>
          <w:rFonts w:cs="Arial"/>
          <w:spacing w:val="-2"/>
        </w:rPr>
        <w:t xml:space="preserve">öherer Gewalt (z. B. Erkrankung des </w:t>
      </w:r>
      <w:r w:rsidR="00A0237C" w:rsidRPr="004B2AA4">
        <w:rPr>
          <w:rFonts w:cs="Arial"/>
          <w:spacing w:val="-2"/>
        </w:rPr>
        <w:t>Trainers</w:t>
      </w:r>
      <w:r w:rsidR="00A1582D" w:rsidRPr="004B2AA4">
        <w:rPr>
          <w:rFonts w:cs="Arial"/>
          <w:spacing w:val="-2"/>
        </w:rPr>
        <w:t xml:space="preserve">) </w:t>
      </w:r>
      <w:r w:rsidR="002345B3" w:rsidRPr="004B2AA4">
        <w:rPr>
          <w:rFonts w:cs="Arial"/>
          <w:spacing w:val="-2"/>
        </w:rPr>
        <w:t xml:space="preserve">abzusagen. </w:t>
      </w:r>
      <w:r w:rsidRPr="004B2AA4">
        <w:rPr>
          <w:rFonts w:cs="Arial"/>
          <w:spacing w:val="-2"/>
        </w:rPr>
        <w:t xml:space="preserve">Der </w:t>
      </w:r>
      <w:r w:rsidR="002A15F1" w:rsidRPr="004B2AA4">
        <w:rPr>
          <w:rFonts w:cs="Arial"/>
          <w:spacing w:val="-2"/>
        </w:rPr>
        <w:t>Veranstalter</w:t>
      </w:r>
      <w:r w:rsidR="002345B3" w:rsidRPr="004B2AA4">
        <w:rPr>
          <w:rFonts w:cs="Arial"/>
          <w:spacing w:val="-2"/>
        </w:rPr>
        <w:t xml:space="preserve"> erstattet in diesem Fall die bereits geleisteten </w:t>
      </w:r>
      <w:r w:rsidR="00A0237C" w:rsidRPr="004B2AA4">
        <w:rPr>
          <w:rFonts w:cs="Arial"/>
          <w:spacing w:val="-2"/>
        </w:rPr>
        <w:t>Schulungs</w:t>
      </w:r>
      <w:r w:rsidR="002345B3" w:rsidRPr="004B2AA4">
        <w:rPr>
          <w:rFonts w:cs="Arial"/>
          <w:spacing w:val="-2"/>
        </w:rPr>
        <w:t>gebühren zurück. Weitergehende Ansprüche können daraus nicht abgeleitet werden, es sei denn</w:t>
      </w:r>
      <w:r w:rsidRPr="004B2AA4">
        <w:rPr>
          <w:rFonts w:cs="Arial"/>
          <w:spacing w:val="-2"/>
        </w:rPr>
        <w:t>,</w:t>
      </w:r>
      <w:r w:rsidR="002345B3" w:rsidRPr="004B2AA4">
        <w:rPr>
          <w:rFonts w:cs="Arial"/>
          <w:spacing w:val="-2"/>
        </w:rPr>
        <w:t xml:space="preserve"> aus </w:t>
      </w:r>
      <w:r w:rsidR="00013873" w:rsidRPr="004B2AA4">
        <w:rPr>
          <w:rFonts w:cs="Arial"/>
          <w:spacing w:val="-2"/>
        </w:rPr>
        <w:t xml:space="preserve">nachfolgender Ziff. </w:t>
      </w:r>
      <w:r w:rsidR="002E5F09" w:rsidRPr="004B2AA4">
        <w:rPr>
          <w:rFonts w:cs="Arial"/>
          <w:spacing w:val="-2"/>
        </w:rPr>
        <w:t>5</w:t>
      </w:r>
      <w:r w:rsidR="002345B3" w:rsidRPr="004B2AA4">
        <w:rPr>
          <w:rFonts w:cs="Arial"/>
          <w:spacing w:val="-2"/>
        </w:rPr>
        <w:t xml:space="preserve"> ergibt sich etwas anderes. Eventuelle Stornierungs- oder Umbuchungsgebühren für vom Teilnehmer gebuchte Transportmittel oder Übernachtungskosten werden vo</w:t>
      </w:r>
      <w:r w:rsidRPr="004B2AA4">
        <w:rPr>
          <w:rFonts w:cs="Arial"/>
          <w:spacing w:val="-2"/>
        </w:rPr>
        <w:t>m</w:t>
      </w:r>
      <w:r w:rsidR="002345B3" w:rsidRPr="004B2AA4">
        <w:rPr>
          <w:rFonts w:cs="Arial"/>
          <w:spacing w:val="-2"/>
        </w:rPr>
        <w:t xml:space="preserve"> </w:t>
      </w:r>
      <w:r w:rsidR="002A15F1" w:rsidRPr="004B2AA4">
        <w:rPr>
          <w:rFonts w:cs="Arial"/>
          <w:spacing w:val="-2"/>
        </w:rPr>
        <w:t>Veranstalter</w:t>
      </w:r>
      <w:r w:rsidR="002345B3" w:rsidRPr="004B2AA4">
        <w:rPr>
          <w:rFonts w:cs="Arial"/>
          <w:spacing w:val="-2"/>
        </w:rPr>
        <w:t xml:space="preserve"> nicht erstattet.</w:t>
      </w:r>
    </w:p>
    <w:p w:rsidR="002345B3" w:rsidRPr="004B2AA4" w:rsidRDefault="00C552BE" w:rsidP="000D30BD">
      <w:pPr>
        <w:tabs>
          <w:tab w:val="left" w:pos="426"/>
        </w:tabs>
        <w:spacing w:after="120"/>
        <w:jc w:val="both"/>
        <w:rPr>
          <w:rFonts w:cs="Arial"/>
          <w:color w:val="365F91" w:themeColor="accent1" w:themeShade="BF"/>
        </w:rPr>
      </w:pPr>
      <w:r w:rsidRPr="004B2AA4">
        <w:rPr>
          <w:rFonts w:cs="Arial"/>
          <w:color w:val="365F91" w:themeColor="accent1" w:themeShade="BF"/>
        </w:rPr>
        <w:t>5</w:t>
      </w:r>
      <w:r w:rsidR="000D30BD" w:rsidRPr="004B2AA4">
        <w:rPr>
          <w:rFonts w:cs="Arial"/>
          <w:color w:val="365F91" w:themeColor="accent1" w:themeShade="BF"/>
        </w:rPr>
        <w:t>.</w:t>
      </w:r>
      <w:r w:rsidR="000D30BD" w:rsidRPr="004B2AA4">
        <w:rPr>
          <w:rFonts w:cs="Arial"/>
          <w:color w:val="365F91" w:themeColor="accent1" w:themeShade="BF"/>
        </w:rPr>
        <w:tab/>
      </w:r>
      <w:r w:rsidR="002345B3" w:rsidRPr="004B2AA4">
        <w:rPr>
          <w:rFonts w:cs="Arial"/>
          <w:color w:val="365F91" w:themeColor="accent1" w:themeShade="BF"/>
        </w:rPr>
        <w:t>Haftung</w:t>
      </w:r>
    </w:p>
    <w:p w:rsidR="002345B3" w:rsidRPr="004B2AA4" w:rsidRDefault="002345B3" w:rsidP="00BB700B">
      <w:pPr>
        <w:tabs>
          <w:tab w:val="left" w:pos="720"/>
        </w:tabs>
        <w:spacing w:after="120"/>
        <w:ind w:left="426"/>
        <w:jc w:val="both"/>
        <w:rPr>
          <w:rFonts w:cs="Arial"/>
          <w:spacing w:val="-2"/>
        </w:rPr>
      </w:pPr>
      <w:r w:rsidRPr="004B2AA4">
        <w:rPr>
          <w:rFonts w:cs="Arial"/>
          <w:spacing w:val="-2"/>
        </w:rPr>
        <w:t xml:space="preserve">Soweit es sich nicht um wesentliche Pflichten aus dem Vertragsverhältnis handelt, haftet </w:t>
      </w:r>
      <w:r w:rsidR="003B6BAA" w:rsidRPr="004B2AA4">
        <w:rPr>
          <w:rFonts w:cs="Arial"/>
          <w:spacing w:val="-2"/>
        </w:rPr>
        <w:t xml:space="preserve">der </w:t>
      </w:r>
      <w:r w:rsidR="002A15F1" w:rsidRPr="004B2AA4">
        <w:rPr>
          <w:rFonts w:cs="Arial"/>
          <w:spacing w:val="-2"/>
        </w:rPr>
        <w:t>Veranstalter</w:t>
      </w:r>
      <w:r w:rsidRPr="004B2AA4">
        <w:rPr>
          <w:rFonts w:cs="Arial"/>
          <w:spacing w:val="-2"/>
        </w:rPr>
        <w:t xml:space="preserve"> für sich und </w:t>
      </w:r>
      <w:r w:rsidR="003B6BAA" w:rsidRPr="004B2AA4">
        <w:rPr>
          <w:rFonts w:cs="Arial"/>
          <w:spacing w:val="-2"/>
        </w:rPr>
        <w:t>seine</w:t>
      </w:r>
      <w:r w:rsidRPr="004B2AA4">
        <w:rPr>
          <w:rFonts w:cs="Arial"/>
          <w:spacing w:val="-2"/>
        </w:rPr>
        <w:t xml:space="preserve"> Erfüllungsgehilfen nur für Schäden, die nachweislich auf einer vorsätzlichen oder grob fahrlässigen Pflichtverletzung im Rahmen des Vertragsverhältnisses beruhen und noch als typische Schäden im Rahmen des Vorhersehbaren liegen. Sollten Veranstaltungen aufgrund von </w:t>
      </w:r>
      <w:r w:rsidR="00013873" w:rsidRPr="004B2AA4">
        <w:rPr>
          <w:rFonts w:cs="Arial"/>
          <w:spacing w:val="-2"/>
        </w:rPr>
        <w:t>H</w:t>
      </w:r>
      <w:r w:rsidRPr="004B2AA4">
        <w:rPr>
          <w:rFonts w:cs="Arial"/>
          <w:spacing w:val="-2"/>
        </w:rPr>
        <w:t>öherer Gewalt zu einem verspäteten Veranstaltungsbeginn oder zur vollständigen Absage einer Veranstaltung führen, wird keine Haftung übernommen</w:t>
      </w:r>
      <w:r w:rsidR="00A1582D" w:rsidRPr="004B2AA4">
        <w:rPr>
          <w:rFonts w:cs="Arial"/>
          <w:spacing w:val="-2"/>
        </w:rPr>
        <w:t>; gleiches gilt auch im Falle einer Absage der Veranstaltung wegen zu geringer Nachfrage</w:t>
      </w:r>
      <w:r w:rsidRPr="004B2AA4">
        <w:rPr>
          <w:rFonts w:cs="Arial"/>
          <w:spacing w:val="-2"/>
        </w:rPr>
        <w:t>.</w:t>
      </w:r>
    </w:p>
    <w:p w:rsidR="002345B3" w:rsidRPr="004B2AA4" w:rsidRDefault="002345B3" w:rsidP="00BB700B">
      <w:pPr>
        <w:tabs>
          <w:tab w:val="left" w:pos="720"/>
        </w:tabs>
        <w:spacing w:after="120"/>
        <w:ind w:left="426"/>
        <w:jc w:val="both"/>
        <w:rPr>
          <w:rFonts w:cs="Arial"/>
          <w:spacing w:val="-2"/>
        </w:rPr>
      </w:pPr>
      <w:r w:rsidRPr="004B2AA4">
        <w:rPr>
          <w:rFonts w:cs="Arial"/>
          <w:spacing w:val="-2"/>
        </w:rPr>
        <w:t xml:space="preserve">Für </w:t>
      </w:r>
      <w:r w:rsidR="00A1582D" w:rsidRPr="004B2AA4">
        <w:rPr>
          <w:rFonts w:cs="Arial"/>
          <w:spacing w:val="-2"/>
        </w:rPr>
        <w:t>Schäden</w:t>
      </w:r>
      <w:r w:rsidRPr="004B2AA4">
        <w:rPr>
          <w:rFonts w:cs="Arial"/>
          <w:spacing w:val="-2"/>
        </w:rPr>
        <w:t xml:space="preserve">, die auf </w:t>
      </w:r>
      <w:r w:rsidR="00013873" w:rsidRPr="004B2AA4">
        <w:rPr>
          <w:rFonts w:cs="Arial"/>
          <w:spacing w:val="-2"/>
        </w:rPr>
        <w:t xml:space="preserve">eventuellen </w:t>
      </w:r>
      <w:r w:rsidRPr="004B2AA4">
        <w:rPr>
          <w:rFonts w:cs="Arial"/>
          <w:spacing w:val="-2"/>
        </w:rPr>
        <w:t>fehlerhaften und/oder unvollständigen Inhalten der Vorträge und/oder Ve</w:t>
      </w:r>
      <w:r w:rsidR="00D6098F" w:rsidRPr="004B2AA4">
        <w:rPr>
          <w:rFonts w:cs="Arial"/>
          <w:spacing w:val="-2"/>
        </w:rPr>
        <w:t>ranstaltungsunterlagen beruhen,</w:t>
      </w:r>
      <w:r w:rsidR="00013873" w:rsidRPr="004B2AA4">
        <w:rPr>
          <w:rFonts w:cs="Arial"/>
          <w:spacing w:val="-2"/>
        </w:rPr>
        <w:t xml:space="preserve"> </w:t>
      </w:r>
      <w:r w:rsidRPr="004B2AA4">
        <w:rPr>
          <w:rFonts w:cs="Arial"/>
          <w:spacing w:val="-2"/>
        </w:rPr>
        <w:t xml:space="preserve">übernimmt </w:t>
      </w:r>
      <w:r w:rsidR="003B6BAA" w:rsidRPr="004B2AA4">
        <w:rPr>
          <w:rFonts w:cs="Arial"/>
          <w:spacing w:val="-2"/>
        </w:rPr>
        <w:t xml:space="preserve">der </w:t>
      </w:r>
      <w:r w:rsidR="002A15F1" w:rsidRPr="004B2AA4">
        <w:rPr>
          <w:rFonts w:cs="Arial"/>
          <w:spacing w:val="-2"/>
        </w:rPr>
        <w:t>Veranstalter</w:t>
      </w:r>
      <w:r w:rsidRPr="004B2AA4">
        <w:rPr>
          <w:rFonts w:cs="Arial"/>
          <w:spacing w:val="-2"/>
        </w:rPr>
        <w:t xml:space="preserve"> </w:t>
      </w:r>
      <w:r w:rsidR="00A1582D" w:rsidRPr="004B2AA4">
        <w:rPr>
          <w:rFonts w:cs="Arial"/>
          <w:spacing w:val="-2"/>
        </w:rPr>
        <w:t xml:space="preserve">im Übrigen </w:t>
      </w:r>
      <w:r w:rsidRPr="004B2AA4">
        <w:rPr>
          <w:rFonts w:cs="Arial"/>
          <w:spacing w:val="-2"/>
        </w:rPr>
        <w:t>keine Haftung</w:t>
      </w:r>
      <w:r w:rsidR="00013873" w:rsidRPr="004B2AA4">
        <w:rPr>
          <w:rFonts w:cs="Arial"/>
          <w:spacing w:val="-2"/>
        </w:rPr>
        <w:t>, es sei denn</w:t>
      </w:r>
      <w:r w:rsidR="003B6BAA" w:rsidRPr="004B2AA4">
        <w:rPr>
          <w:rFonts w:cs="Arial"/>
          <w:spacing w:val="-2"/>
        </w:rPr>
        <w:t>, dem</w:t>
      </w:r>
      <w:r w:rsidR="0052530D" w:rsidRPr="004B2AA4">
        <w:rPr>
          <w:rFonts w:cs="Arial"/>
          <w:spacing w:val="-2"/>
        </w:rPr>
        <w:t xml:space="preserve"> </w:t>
      </w:r>
      <w:r w:rsidR="002A15F1" w:rsidRPr="004B2AA4">
        <w:rPr>
          <w:rFonts w:cs="Arial"/>
          <w:spacing w:val="-2"/>
        </w:rPr>
        <w:t>Veranstalter</w:t>
      </w:r>
      <w:r w:rsidR="00013873" w:rsidRPr="004B2AA4">
        <w:rPr>
          <w:rFonts w:cs="Arial"/>
          <w:spacing w:val="-2"/>
        </w:rPr>
        <w:t xml:space="preserve"> ist eine vorsätzliche oder grob fahrlässige Pflichtverletzung vorzuwerfen.</w:t>
      </w:r>
    </w:p>
    <w:p w:rsidR="00BD4A9A" w:rsidRPr="004B2AA4" w:rsidRDefault="00BD4A9A" w:rsidP="00BB700B">
      <w:pPr>
        <w:tabs>
          <w:tab w:val="left" w:pos="720"/>
        </w:tabs>
        <w:spacing w:after="120"/>
        <w:ind w:left="426"/>
        <w:jc w:val="both"/>
        <w:rPr>
          <w:rFonts w:cs="Arial"/>
          <w:spacing w:val="-2"/>
        </w:rPr>
      </w:pPr>
      <w:r w:rsidRPr="004B2AA4">
        <w:rPr>
          <w:rFonts w:cs="Arial"/>
          <w:spacing w:val="-2"/>
        </w:rPr>
        <w:t>Buchungen von Übernachtungen, Transport etc. auf ausdrücklichen Wunsch des Teilnehmers erfolgen stets im Namen und auf Rechnung des Teilnehmers.</w:t>
      </w:r>
    </w:p>
    <w:p w:rsidR="009A21F9" w:rsidRPr="004B2AA4" w:rsidRDefault="009A21F9" w:rsidP="00BB700B">
      <w:pPr>
        <w:spacing w:after="120"/>
        <w:ind w:left="426"/>
        <w:jc w:val="both"/>
        <w:rPr>
          <w:rFonts w:cs="Arial"/>
        </w:rPr>
      </w:pPr>
      <w:r w:rsidRPr="004B2AA4">
        <w:rPr>
          <w:rFonts w:cs="Arial"/>
        </w:rPr>
        <w:t>Soweit der Teilnehmer zusätzliche Übernachtungen oder Doppelzimmer im Hotel gebucht hat, gelten die Stornierungsbedingungen des jeweiligen Hotels. Im Falle einer Stornierung der Veranstaltung durch den Teilnehmer oder de</w:t>
      </w:r>
      <w:r w:rsidR="00C86B4C" w:rsidRPr="004B2AA4">
        <w:rPr>
          <w:rFonts w:cs="Arial"/>
        </w:rPr>
        <w:t>n</w:t>
      </w:r>
      <w:r w:rsidRPr="004B2AA4">
        <w:rPr>
          <w:rFonts w:cs="Arial"/>
        </w:rPr>
        <w:t xml:space="preserve"> Veranstalter, muss der Teilnehmer die Stornierung seiner Buchung selbst vornehmen.</w:t>
      </w:r>
    </w:p>
    <w:p w:rsidR="00663EA9" w:rsidRPr="004B2AA4" w:rsidRDefault="00663EA9" w:rsidP="00BB700B">
      <w:pPr>
        <w:spacing w:after="120"/>
        <w:ind w:left="426"/>
        <w:jc w:val="both"/>
        <w:rPr>
          <w:rFonts w:cs="Arial"/>
        </w:rPr>
      </w:pPr>
      <w:r w:rsidRPr="004B2AA4">
        <w:rPr>
          <w:rFonts w:cs="Arial"/>
        </w:rPr>
        <w:t>Der Teilnehmer ist verpflichtet, dafür Sorge zu tragen, dass er für den Fall eines von Ihm al</w:t>
      </w:r>
      <w:r w:rsidRPr="004B2AA4">
        <w:rPr>
          <w:rFonts w:cs="Arial"/>
        </w:rPr>
        <w:softHyphen/>
        <w:t>leine während der Veranstaltung schuldhaft verursachten Personen- und/oder Sachschadens über einen angemessenen Haftpflichtversicherungs-Schutz verfügt; auf Wunsch des Veranstal</w:t>
      </w:r>
      <w:r w:rsidRPr="004B2AA4">
        <w:rPr>
          <w:rFonts w:cs="Arial"/>
        </w:rPr>
        <w:softHyphen/>
        <w:t>ters wird der Teilnehmer eine entsprechende Versicherungsbestätigung vorlegen.</w:t>
      </w:r>
    </w:p>
    <w:p w:rsidR="002345B3" w:rsidRPr="004B2AA4" w:rsidRDefault="00C552BE" w:rsidP="000D30BD">
      <w:pPr>
        <w:tabs>
          <w:tab w:val="left" w:pos="426"/>
        </w:tabs>
        <w:spacing w:after="120"/>
        <w:jc w:val="both"/>
        <w:rPr>
          <w:rFonts w:cs="Arial"/>
          <w:color w:val="365F91" w:themeColor="accent1" w:themeShade="BF"/>
        </w:rPr>
      </w:pPr>
      <w:r w:rsidRPr="004B2AA4">
        <w:rPr>
          <w:rFonts w:cs="Arial"/>
          <w:color w:val="365F91" w:themeColor="accent1" w:themeShade="BF"/>
        </w:rPr>
        <w:t>6</w:t>
      </w:r>
      <w:r w:rsidR="000D30BD" w:rsidRPr="004B2AA4">
        <w:rPr>
          <w:rFonts w:cs="Arial"/>
          <w:color w:val="365F91" w:themeColor="accent1" w:themeShade="BF"/>
        </w:rPr>
        <w:t>.</w:t>
      </w:r>
      <w:r w:rsidR="000D30BD" w:rsidRPr="004B2AA4">
        <w:rPr>
          <w:rFonts w:cs="Arial"/>
          <w:color w:val="365F91" w:themeColor="accent1" w:themeShade="BF"/>
        </w:rPr>
        <w:tab/>
      </w:r>
      <w:r w:rsidR="002345B3" w:rsidRPr="004B2AA4">
        <w:rPr>
          <w:rFonts w:cs="Arial"/>
          <w:color w:val="365F91" w:themeColor="accent1" w:themeShade="BF"/>
        </w:rPr>
        <w:t>Änderungen des Veranstaltungsverlaufs</w:t>
      </w:r>
    </w:p>
    <w:p w:rsidR="00663EA9" w:rsidRPr="004B2AA4" w:rsidRDefault="003B6BAA" w:rsidP="004B2AA4">
      <w:pPr>
        <w:spacing w:after="120"/>
        <w:ind w:left="426"/>
        <w:jc w:val="both"/>
        <w:rPr>
          <w:rFonts w:cs="Arial"/>
          <w:color w:val="365F91" w:themeColor="accent1" w:themeShade="BF"/>
        </w:rPr>
      </w:pPr>
      <w:r w:rsidRPr="004B2AA4">
        <w:rPr>
          <w:rFonts w:cs="Arial"/>
        </w:rPr>
        <w:t xml:space="preserve">Der </w:t>
      </w:r>
      <w:r w:rsidR="002A15F1" w:rsidRPr="004B2AA4">
        <w:rPr>
          <w:rFonts w:cs="Arial"/>
        </w:rPr>
        <w:t>Veranstalter</w:t>
      </w:r>
      <w:r w:rsidR="002345B3" w:rsidRPr="004B2AA4">
        <w:rPr>
          <w:rFonts w:cs="Arial"/>
        </w:rPr>
        <w:t xml:space="preserve"> behält sich das Recht vor, </w:t>
      </w:r>
      <w:r w:rsidR="00A1582D" w:rsidRPr="004B2AA4">
        <w:rPr>
          <w:rFonts w:cs="Arial"/>
        </w:rPr>
        <w:t>geringfügige Änderungen im Veranstaltungsprogramm durchzuführen. Ebenso behält sich</w:t>
      </w:r>
      <w:r w:rsidR="00A0237C" w:rsidRPr="004B2AA4">
        <w:rPr>
          <w:rFonts w:cs="Arial"/>
        </w:rPr>
        <w:t xml:space="preserve"> </w:t>
      </w:r>
      <w:r w:rsidRPr="004B2AA4">
        <w:rPr>
          <w:rFonts w:cs="Arial"/>
        </w:rPr>
        <w:t xml:space="preserve">der </w:t>
      </w:r>
      <w:r w:rsidR="002A15F1" w:rsidRPr="004B2AA4">
        <w:rPr>
          <w:rFonts w:cs="Arial"/>
        </w:rPr>
        <w:t>Veranstalter</w:t>
      </w:r>
      <w:r w:rsidR="00A1582D" w:rsidRPr="004B2AA4">
        <w:rPr>
          <w:rFonts w:cs="Arial"/>
        </w:rPr>
        <w:t xml:space="preserve"> </w:t>
      </w:r>
      <w:r w:rsidR="0081154A" w:rsidRPr="004B2AA4">
        <w:rPr>
          <w:rFonts w:cs="Arial"/>
        </w:rPr>
        <w:t>Trainer</w:t>
      </w:r>
      <w:r w:rsidR="00A1582D" w:rsidRPr="004B2AA4">
        <w:rPr>
          <w:rFonts w:cs="Arial"/>
        </w:rPr>
        <w:t>wechsel vor</w:t>
      </w:r>
      <w:r w:rsidR="00C552BE" w:rsidRPr="004B2AA4">
        <w:rPr>
          <w:rFonts w:cs="Arial"/>
        </w:rPr>
        <w:t>; gleiches gilt ebenfalls bei einem eventuell erforderlichen Seminarortswechsel, sofern dies für den Teilnehmer zumutbar ist</w:t>
      </w:r>
      <w:r w:rsidR="00013873" w:rsidRPr="004B2AA4">
        <w:rPr>
          <w:rFonts w:cs="Arial"/>
        </w:rPr>
        <w:t xml:space="preserve">. </w:t>
      </w:r>
      <w:r w:rsidR="00663EA9" w:rsidRPr="004B2AA4">
        <w:rPr>
          <w:rFonts w:cs="Arial"/>
          <w:color w:val="365F91" w:themeColor="accent1" w:themeShade="BF"/>
        </w:rPr>
        <w:br w:type="page"/>
      </w:r>
    </w:p>
    <w:p w:rsidR="002345B3" w:rsidRPr="004B2AA4" w:rsidRDefault="00C552BE" w:rsidP="000D30BD">
      <w:pPr>
        <w:tabs>
          <w:tab w:val="left" w:pos="426"/>
        </w:tabs>
        <w:spacing w:after="120"/>
        <w:jc w:val="both"/>
        <w:rPr>
          <w:rFonts w:cs="Arial"/>
          <w:color w:val="365F91" w:themeColor="accent1" w:themeShade="BF"/>
        </w:rPr>
      </w:pPr>
      <w:r w:rsidRPr="004B2AA4">
        <w:rPr>
          <w:rFonts w:cs="Arial"/>
          <w:color w:val="365F91" w:themeColor="accent1" w:themeShade="BF"/>
        </w:rPr>
        <w:lastRenderedPageBreak/>
        <w:t>7</w:t>
      </w:r>
      <w:r w:rsidR="000D30BD" w:rsidRPr="004B2AA4">
        <w:rPr>
          <w:rFonts w:cs="Arial"/>
          <w:color w:val="365F91" w:themeColor="accent1" w:themeShade="BF"/>
        </w:rPr>
        <w:t>.</w:t>
      </w:r>
      <w:r w:rsidR="000D30BD" w:rsidRPr="004B2AA4">
        <w:rPr>
          <w:rFonts w:cs="Arial"/>
          <w:color w:val="365F91" w:themeColor="accent1" w:themeShade="BF"/>
        </w:rPr>
        <w:tab/>
      </w:r>
      <w:r w:rsidR="002345B3" w:rsidRPr="004B2AA4">
        <w:rPr>
          <w:rFonts w:cs="Arial"/>
          <w:color w:val="365F91" w:themeColor="accent1" w:themeShade="BF"/>
        </w:rPr>
        <w:t>Ablehnung einer Anmeldung</w:t>
      </w:r>
    </w:p>
    <w:p w:rsidR="000D30BD" w:rsidRPr="004B2AA4" w:rsidRDefault="003B6BAA" w:rsidP="00663EA9">
      <w:pPr>
        <w:spacing w:after="120"/>
        <w:ind w:left="426"/>
        <w:jc w:val="both"/>
        <w:rPr>
          <w:rFonts w:cs="Arial"/>
        </w:rPr>
      </w:pPr>
      <w:r w:rsidRPr="004B2AA4">
        <w:rPr>
          <w:rFonts w:cs="Arial"/>
        </w:rPr>
        <w:t xml:space="preserve">Der </w:t>
      </w:r>
      <w:r w:rsidR="002A15F1" w:rsidRPr="004B2AA4">
        <w:rPr>
          <w:rFonts w:cs="Arial"/>
        </w:rPr>
        <w:t>Veranstalter</w:t>
      </w:r>
      <w:r w:rsidR="002345B3" w:rsidRPr="004B2AA4">
        <w:rPr>
          <w:rFonts w:cs="Arial"/>
        </w:rPr>
        <w:t xml:space="preserve"> ist berechtigt, die Anmeldung zu einer Veranstaltung ohne Angabe von Gründen </w:t>
      </w:r>
      <w:r w:rsidR="00A1582D" w:rsidRPr="004B2AA4">
        <w:rPr>
          <w:rFonts w:cs="Arial"/>
        </w:rPr>
        <w:t xml:space="preserve">unverzüglich </w:t>
      </w:r>
      <w:r w:rsidR="002345B3" w:rsidRPr="004B2AA4">
        <w:rPr>
          <w:rFonts w:cs="Arial"/>
        </w:rPr>
        <w:t>abzulehnen.</w:t>
      </w:r>
      <w:r w:rsidR="00A1582D" w:rsidRPr="004B2AA4">
        <w:rPr>
          <w:rFonts w:cs="Arial"/>
        </w:rPr>
        <w:t xml:space="preserve"> Im Falle einer Überbuchung wird der Anmeldende </w:t>
      </w:r>
      <w:r w:rsidR="00013873" w:rsidRPr="004B2AA4">
        <w:rPr>
          <w:rFonts w:cs="Arial"/>
        </w:rPr>
        <w:t xml:space="preserve">ebenfalls </w:t>
      </w:r>
      <w:r w:rsidR="00A1582D" w:rsidRPr="004B2AA4">
        <w:rPr>
          <w:rFonts w:cs="Arial"/>
        </w:rPr>
        <w:t>unverzüglich informiert.</w:t>
      </w:r>
    </w:p>
    <w:p w:rsidR="002345B3" w:rsidRPr="004B2AA4" w:rsidRDefault="00C552BE" w:rsidP="000D30BD">
      <w:pPr>
        <w:tabs>
          <w:tab w:val="left" w:pos="426"/>
        </w:tabs>
        <w:spacing w:after="120"/>
        <w:jc w:val="both"/>
        <w:rPr>
          <w:rFonts w:cs="Arial"/>
          <w:color w:val="365F91" w:themeColor="accent1" w:themeShade="BF"/>
        </w:rPr>
      </w:pPr>
      <w:r w:rsidRPr="004B2AA4">
        <w:rPr>
          <w:rFonts w:cs="Arial"/>
          <w:color w:val="365F91" w:themeColor="accent1" w:themeShade="BF"/>
        </w:rPr>
        <w:t>8</w:t>
      </w:r>
      <w:r w:rsidR="000D30BD" w:rsidRPr="004B2AA4">
        <w:rPr>
          <w:rFonts w:cs="Arial"/>
          <w:color w:val="365F91" w:themeColor="accent1" w:themeShade="BF"/>
        </w:rPr>
        <w:t>.</w:t>
      </w:r>
      <w:r w:rsidR="000D30BD" w:rsidRPr="004B2AA4">
        <w:rPr>
          <w:rFonts w:cs="Arial"/>
          <w:color w:val="365F91" w:themeColor="accent1" w:themeShade="BF"/>
        </w:rPr>
        <w:tab/>
      </w:r>
      <w:r w:rsidR="002345B3" w:rsidRPr="004B2AA4">
        <w:rPr>
          <w:rFonts w:cs="Arial"/>
          <w:color w:val="365F91" w:themeColor="accent1" w:themeShade="BF"/>
        </w:rPr>
        <w:t>Nutzung von Veranstaltungsunterlagen</w:t>
      </w:r>
    </w:p>
    <w:p w:rsidR="002345B3" w:rsidRPr="004B2AA4" w:rsidRDefault="00A1582D" w:rsidP="00BB700B">
      <w:pPr>
        <w:tabs>
          <w:tab w:val="left" w:pos="720"/>
        </w:tabs>
        <w:spacing w:after="120"/>
        <w:ind w:left="426"/>
        <w:jc w:val="both"/>
        <w:rPr>
          <w:rFonts w:cs="Arial"/>
        </w:rPr>
      </w:pPr>
      <w:r w:rsidRPr="004B2AA4">
        <w:rPr>
          <w:rFonts w:cs="Arial"/>
        </w:rPr>
        <w:t xml:space="preserve">Das schriftliche Begleitmaterial sowie die Veranstaltungsunterlagen sind urheberrechtlich geschützt und dürfen insoweit nicht ohne Einwilligung </w:t>
      </w:r>
      <w:r w:rsidR="003B6BAA" w:rsidRPr="004B2AA4">
        <w:rPr>
          <w:rFonts w:cs="Arial"/>
        </w:rPr>
        <w:t xml:space="preserve">des </w:t>
      </w:r>
      <w:r w:rsidR="002A15F1" w:rsidRPr="004B2AA4">
        <w:rPr>
          <w:rFonts w:cs="Arial"/>
        </w:rPr>
        <w:t>Veranstalter</w:t>
      </w:r>
      <w:r w:rsidR="003B6BAA" w:rsidRPr="004B2AA4">
        <w:rPr>
          <w:rFonts w:cs="Arial"/>
        </w:rPr>
        <w:t>s</w:t>
      </w:r>
      <w:r w:rsidRPr="004B2AA4">
        <w:rPr>
          <w:rFonts w:cs="Arial"/>
        </w:rPr>
        <w:t xml:space="preserve"> vervielfältigt oder verbreitet werden</w:t>
      </w:r>
      <w:r w:rsidR="002345B3" w:rsidRPr="004B2AA4">
        <w:rPr>
          <w:rFonts w:cs="Arial"/>
        </w:rPr>
        <w:t>.</w:t>
      </w:r>
    </w:p>
    <w:p w:rsidR="002345B3" w:rsidRPr="004B2AA4" w:rsidRDefault="002345B3" w:rsidP="00BB700B">
      <w:pPr>
        <w:spacing w:after="120"/>
        <w:ind w:left="426"/>
        <w:jc w:val="both"/>
        <w:rPr>
          <w:rFonts w:cs="Arial"/>
        </w:rPr>
      </w:pPr>
      <w:r w:rsidRPr="004B2AA4">
        <w:rPr>
          <w:rFonts w:cs="Arial"/>
        </w:rPr>
        <w:t xml:space="preserve">Die Teilnehmer sind nicht befugt, </w:t>
      </w:r>
      <w:r w:rsidR="003B6BAA" w:rsidRPr="004B2AA4">
        <w:rPr>
          <w:rFonts w:cs="Arial"/>
        </w:rPr>
        <w:t>Unterlagen bzw. sonstige Lizenzmaterial</w:t>
      </w:r>
      <w:r w:rsidR="009F32F7" w:rsidRPr="004B2AA4">
        <w:rPr>
          <w:rFonts w:cs="Arial"/>
        </w:rPr>
        <w:t>i</w:t>
      </w:r>
      <w:r w:rsidR="003B6BAA" w:rsidRPr="004B2AA4">
        <w:rPr>
          <w:rFonts w:cs="Arial"/>
        </w:rPr>
        <w:t>en</w:t>
      </w:r>
      <w:r w:rsidRPr="004B2AA4">
        <w:rPr>
          <w:rFonts w:cs="Arial"/>
        </w:rPr>
        <w:t>, d</w:t>
      </w:r>
      <w:r w:rsidR="009F32F7" w:rsidRPr="004B2AA4">
        <w:rPr>
          <w:rFonts w:cs="Arial"/>
        </w:rPr>
        <w:t>ie</w:t>
      </w:r>
      <w:r w:rsidRPr="004B2AA4">
        <w:rPr>
          <w:rFonts w:cs="Arial"/>
        </w:rPr>
        <w:t xml:space="preserve"> zu Schulungs- und Informationszwecken ausgehän</w:t>
      </w:r>
      <w:r w:rsidR="00852484" w:rsidRPr="004B2AA4">
        <w:rPr>
          <w:rFonts w:cs="Arial"/>
        </w:rPr>
        <w:t>digt werden</w:t>
      </w:r>
      <w:r w:rsidRPr="004B2AA4">
        <w:rPr>
          <w:rFonts w:cs="Arial"/>
        </w:rPr>
        <w:t xml:space="preserve">, zu </w:t>
      </w:r>
      <w:r w:rsidR="00013873" w:rsidRPr="004B2AA4">
        <w:rPr>
          <w:rFonts w:cs="Arial"/>
        </w:rPr>
        <w:t>vervielfältigen</w:t>
      </w:r>
      <w:r w:rsidRPr="004B2AA4">
        <w:rPr>
          <w:rFonts w:cs="Arial"/>
        </w:rPr>
        <w:t xml:space="preserve">. Lizenzmaterial sind </w:t>
      </w:r>
      <w:r w:rsidR="00013873" w:rsidRPr="004B2AA4">
        <w:rPr>
          <w:rFonts w:cs="Arial"/>
        </w:rPr>
        <w:t xml:space="preserve">insbesondere </w:t>
      </w:r>
      <w:r w:rsidRPr="004B2AA4">
        <w:rPr>
          <w:rFonts w:cs="Arial"/>
        </w:rPr>
        <w:t>Datenverarbeitungsprogramme und/oder lizenzierte Datenbestände (Datenbanken) in maschinenlesbarer Form einschließlich der zugehörigen Dokumentation.</w:t>
      </w:r>
      <w:r w:rsidR="00C552BE" w:rsidRPr="004B2AA4">
        <w:rPr>
          <w:rFonts w:cs="Arial"/>
        </w:rPr>
        <w:t xml:space="preserve"> Der jeweilige Urheberrechtshinweis bzw. Copyrightvermerk ist vom Teilnehmer strikt zu beachten; eine Entfernung solcher Ver</w:t>
      </w:r>
      <w:r w:rsidR="0052530D" w:rsidRPr="004B2AA4">
        <w:rPr>
          <w:rFonts w:cs="Arial"/>
        </w:rPr>
        <w:t>merke ist strikt verboten</w:t>
      </w:r>
      <w:r w:rsidRPr="004B2AA4">
        <w:rPr>
          <w:rFonts w:cs="Arial"/>
        </w:rPr>
        <w:t>.</w:t>
      </w:r>
    </w:p>
    <w:p w:rsidR="002345B3" w:rsidRPr="004B2AA4" w:rsidRDefault="000D30BD" w:rsidP="00305A8D">
      <w:pPr>
        <w:tabs>
          <w:tab w:val="left" w:pos="426"/>
        </w:tabs>
        <w:spacing w:after="120"/>
        <w:jc w:val="both"/>
        <w:rPr>
          <w:rFonts w:cs="Arial"/>
          <w:b/>
          <w:color w:val="365F91" w:themeColor="accent1" w:themeShade="BF"/>
        </w:rPr>
      </w:pPr>
      <w:r w:rsidRPr="004B2AA4">
        <w:rPr>
          <w:rFonts w:cs="Arial"/>
          <w:b/>
          <w:color w:val="365F91" w:themeColor="accent1" w:themeShade="BF"/>
        </w:rPr>
        <w:t>II.</w:t>
      </w:r>
      <w:r w:rsidRPr="004B2AA4">
        <w:rPr>
          <w:rFonts w:cs="Arial"/>
          <w:b/>
          <w:color w:val="365F91" w:themeColor="accent1" w:themeShade="BF"/>
        </w:rPr>
        <w:tab/>
      </w:r>
      <w:r w:rsidR="002345B3" w:rsidRPr="004B2AA4">
        <w:rPr>
          <w:rFonts w:cs="Arial"/>
          <w:b/>
          <w:color w:val="365F91" w:themeColor="accent1" w:themeShade="BF"/>
        </w:rPr>
        <w:t>Schlussbestimmungen</w:t>
      </w:r>
    </w:p>
    <w:p w:rsidR="00A1582D" w:rsidRPr="004B2AA4" w:rsidRDefault="000D30BD" w:rsidP="000D30BD">
      <w:pPr>
        <w:tabs>
          <w:tab w:val="left" w:pos="426"/>
        </w:tabs>
        <w:spacing w:after="120"/>
        <w:jc w:val="both"/>
        <w:rPr>
          <w:rFonts w:cs="Arial"/>
          <w:color w:val="365F91" w:themeColor="accent1" w:themeShade="BF"/>
        </w:rPr>
      </w:pPr>
      <w:r w:rsidRPr="004B2AA4">
        <w:rPr>
          <w:rFonts w:cs="Arial"/>
          <w:color w:val="365F91" w:themeColor="accent1" w:themeShade="BF"/>
        </w:rPr>
        <w:t>1.</w:t>
      </w:r>
      <w:r w:rsidRPr="004B2AA4">
        <w:rPr>
          <w:rFonts w:cs="Arial"/>
          <w:color w:val="365F91" w:themeColor="accent1" w:themeShade="BF"/>
        </w:rPr>
        <w:tab/>
      </w:r>
      <w:r w:rsidR="00A1582D" w:rsidRPr="004B2AA4">
        <w:rPr>
          <w:rFonts w:cs="Arial"/>
          <w:color w:val="365F91" w:themeColor="accent1" w:themeShade="BF"/>
        </w:rPr>
        <w:t>Rechtswahl</w:t>
      </w:r>
    </w:p>
    <w:p w:rsidR="00A1582D" w:rsidRPr="004B2AA4" w:rsidRDefault="00A1582D" w:rsidP="00BB700B">
      <w:pPr>
        <w:spacing w:after="120"/>
        <w:ind w:left="426"/>
        <w:jc w:val="both"/>
        <w:rPr>
          <w:rFonts w:cs="Arial"/>
        </w:rPr>
      </w:pPr>
      <w:r w:rsidRPr="004B2AA4">
        <w:rPr>
          <w:rFonts w:cs="Arial"/>
        </w:rPr>
        <w:t xml:space="preserve">Für diese Allgemeinen </w:t>
      </w:r>
      <w:r w:rsidR="00AE3719" w:rsidRPr="004B2AA4">
        <w:rPr>
          <w:rFonts w:cs="Arial"/>
        </w:rPr>
        <w:t>Schulungs</w:t>
      </w:r>
      <w:r w:rsidRPr="004B2AA4">
        <w:rPr>
          <w:rFonts w:cs="Arial"/>
        </w:rPr>
        <w:t>bedingungen und alle Rechtsbeziehungen zwischen den Vertragspartnern gilt das Recht der Bundesrepublik Deutschland.</w:t>
      </w:r>
    </w:p>
    <w:p w:rsidR="00A1582D" w:rsidRPr="004B2AA4" w:rsidRDefault="000D30BD" w:rsidP="000D30BD">
      <w:pPr>
        <w:tabs>
          <w:tab w:val="left" w:pos="426"/>
        </w:tabs>
        <w:spacing w:after="120"/>
        <w:jc w:val="both"/>
        <w:rPr>
          <w:rFonts w:cs="Arial"/>
          <w:color w:val="365F91" w:themeColor="accent1" w:themeShade="BF"/>
        </w:rPr>
      </w:pPr>
      <w:r w:rsidRPr="004B2AA4">
        <w:rPr>
          <w:rFonts w:cs="Arial"/>
          <w:color w:val="365F91" w:themeColor="accent1" w:themeShade="BF"/>
        </w:rPr>
        <w:t>2.</w:t>
      </w:r>
      <w:r w:rsidRPr="004B2AA4">
        <w:rPr>
          <w:rFonts w:cs="Arial"/>
          <w:color w:val="365F91" w:themeColor="accent1" w:themeShade="BF"/>
        </w:rPr>
        <w:tab/>
      </w:r>
      <w:r w:rsidR="00A1582D" w:rsidRPr="004B2AA4">
        <w:rPr>
          <w:rFonts w:cs="Arial"/>
          <w:color w:val="365F91" w:themeColor="accent1" w:themeShade="BF"/>
        </w:rPr>
        <w:t>Gerichtsstand</w:t>
      </w:r>
    </w:p>
    <w:p w:rsidR="002345B3" w:rsidRPr="004B2AA4" w:rsidRDefault="00A1582D" w:rsidP="00BB700B">
      <w:pPr>
        <w:ind w:left="426"/>
        <w:jc w:val="both"/>
        <w:rPr>
          <w:rFonts w:cs="Arial"/>
        </w:rPr>
      </w:pPr>
      <w:r w:rsidRPr="004B2AA4">
        <w:rPr>
          <w:rFonts w:cs="Arial"/>
        </w:rPr>
        <w:t>Ist der Vertragspartner Kaufmann, juristische Person des öffentlichen Rechts oder ein öffentlich-rechtliches Sondervermögen, ist ausschließlicher Gerichtsstand für alle sich aus dem Vertragsverhältnis unmittelbar oder mittelbar ergebenden Streitigkeiten der Geschäftssitz</w:t>
      </w:r>
      <w:r w:rsidR="00F40889" w:rsidRPr="004B2AA4">
        <w:rPr>
          <w:rFonts w:cs="Arial"/>
        </w:rPr>
        <w:t xml:space="preserve"> des</w:t>
      </w:r>
      <w:r w:rsidR="00AE3719" w:rsidRPr="004B2AA4">
        <w:rPr>
          <w:rFonts w:cs="Arial"/>
        </w:rPr>
        <w:t xml:space="preserve"> </w:t>
      </w:r>
      <w:r w:rsidR="002A15F1" w:rsidRPr="004B2AA4">
        <w:rPr>
          <w:rFonts w:cs="Arial"/>
        </w:rPr>
        <w:t>Veranstalter</w:t>
      </w:r>
      <w:r w:rsidR="00F40889" w:rsidRPr="004B2AA4">
        <w:rPr>
          <w:rFonts w:cs="Arial"/>
        </w:rPr>
        <w:t>s</w:t>
      </w:r>
      <w:r w:rsidR="00AE3719" w:rsidRPr="004B2AA4">
        <w:rPr>
          <w:rFonts w:cs="Arial"/>
        </w:rPr>
        <w:t>.</w:t>
      </w:r>
    </w:p>
    <w:p w:rsidR="002345B3" w:rsidRPr="004B2AA4" w:rsidRDefault="002345B3" w:rsidP="00A1582D">
      <w:pPr>
        <w:jc w:val="both"/>
        <w:rPr>
          <w:rFonts w:cs="Arial"/>
        </w:rPr>
      </w:pPr>
    </w:p>
    <w:p w:rsidR="002F77C0" w:rsidRPr="004B2AA4" w:rsidRDefault="002F77C0" w:rsidP="00A1582D">
      <w:pPr>
        <w:jc w:val="both"/>
        <w:rPr>
          <w:rFonts w:cs="Arial"/>
          <w:sz w:val="20"/>
          <w:szCs w:val="20"/>
        </w:rPr>
      </w:pPr>
    </w:p>
    <w:sectPr w:rsidR="002F77C0" w:rsidRPr="004B2AA4" w:rsidSect="000D30BD">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1843" w:rsidRDefault="003A1843" w:rsidP="002E5F09">
      <w:r>
        <w:separator/>
      </w:r>
    </w:p>
  </w:endnote>
  <w:endnote w:type="continuationSeparator" w:id="0">
    <w:p w:rsidR="003A1843" w:rsidRDefault="003A1843" w:rsidP="002E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C4C3B" w:rsidRPr="004B2AA4" w:rsidRDefault="00C86B4C" w:rsidP="00AC4C3B">
    <w:pPr>
      <w:pStyle w:val="Fuzeile"/>
      <w:jc w:val="right"/>
      <w:rPr>
        <w:rFonts w:cs="Arial"/>
        <w:sz w:val="20"/>
        <w:szCs w:val="20"/>
      </w:rPr>
    </w:pPr>
    <w:r w:rsidRPr="004B2AA4">
      <w:rPr>
        <w:rFonts w:cs="Arial"/>
        <w:sz w:val="20"/>
        <w:szCs w:val="20"/>
      </w:rPr>
      <w:t>bbi_</w:t>
    </w:r>
    <w:r w:rsidR="00AC4C3B" w:rsidRPr="004B2AA4">
      <w:rPr>
        <w:rFonts w:cs="Arial"/>
        <w:sz w:val="20"/>
        <w:szCs w:val="20"/>
      </w:rPr>
      <w:t>AGB_Schulungen</w:t>
    </w:r>
    <w:r w:rsidRPr="004B2AA4">
      <w:rPr>
        <w:rFonts w:cs="Arial"/>
        <w:sz w:val="20"/>
        <w:szCs w:val="20"/>
      </w:rPr>
      <w:t>_</w:t>
    </w:r>
    <w:r w:rsidR="00AC4C3B" w:rsidRPr="004B2AA4">
      <w:rPr>
        <w:rFonts w:cs="Arial"/>
        <w:sz w:val="20"/>
        <w:szCs w:val="20"/>
      </w:rPr>
      <w:t>April</w:t>
    </w:r>
    <w:r w:rsidRPr="004B2AA4">
      <w:rPr>
        <w:rFonts w:cs="Arial"/>
        <w:sz w:val="20"/>
        <w:szCs w:val="20"/>
      </w:rPr>
      <w:t>_</w:t>
    </w:r>
    <w:r w:rsidR="00AC4C3B" w:rsidRPr="004B2AA4">
      <w:rPr>
        <w:rFonts w:cs="Arial"/>
        <w:sz w:val="20"/>
        <w:szCs w:val="20"/>
      </w:rPr>
      <w:t>2017/</w:t>
    </w:r>
    <w:r w:rsidR="00AC4C3B" w:rsidRPr="004B2AA4">
      <w:rPr>
        <w:rFonts w:cs="Arial"/>
        <w:sz w:val="20"/>
        <w:szCs w:val="20"/>
      </w:rPr>
      <w:fldChar w:fldCharType="begin"/>
    </w:r>
    <w:r w:rsidR="00AC4C3B" w:rsidRPr="004B2AA4">
      <w:rPr>
        <w:rFonts w:cs="Arial"/>
        <w:sz w:val="20"/>
        <w:szCs w:val="20"/>
      </w:rPr>
      <w:instrText>PAGE   \* MERGEFORMAT</w:instrText>
    </w:r>
    <w:r w:rsidR="00AC4C3B" w:rsidRPr="004B2AA4">
      <w:rPr>
        <w:rFonts w:cs="Arial"/>
        <w:sz w:val="20"/>
        <w:szCs w:val="20"/>
      </w:rPr>
      <w:fldChar w:fldCharType="separate"/>
    </w:r>
    <w:r w:rsidR="004B2AA4">
      <w:rPr>
        <w:rFonts w:cs="Arial"/>
        <w:noProof/>
        <w:sz w:val="20"/>
        <w:szCs w:val="20"/>
      </w:rPr>
      <w:t>3</w:t>
    </w:r>
    <w:r w:rsidR="00AC4C3B" w:rsidRPr="004B2AA4">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1843" w:rsidRDefault="003A1843" w:rsidP="002E5F09">
      <w:r>
        <w:separator/>
      </w:r>
    </w:p>
  </w:footnote>
  <w:footnote w:type="continuationSeparator" w:id="0">
    <w:p w:rsidR="003A1843" w:rsidRDefault="003A1843" w:rsidP="002E5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BD4F57"/>
    <w:multiLevelType w:val="hybridMultilevel"/>
    <w:tmpl w:val="73C273C4"/>
    <w:lvl w:ilvl="0" w:tplc="EA94C508">
      <w:start w:val="1"/>
      <w:numFmt w:val="upperRoman"/>
      <w:lvlText w:val="%1."/>
      <w:lvlJc w:val="left"/>
      <w:pPr>
        <w:tabs>
          <w:tab w:val="num" w:pos="1080"/>
        </w:tabs>
        <w:ind w:left="1080" w:hanging="720"/>
      </w:pPr>
      <w:rPr>
        <w:rFonts w:hint="default"/>
      </w:rPr>
    </w:lvl>
    <w:lvl w:ilvl="1" w:tplc="2F10FCEC">
      <w:start w:val="1"/>
      <w:numFmt w:val="decimal"/>
      <w:lvlText w:val="%2."/>
      <w:lvlJc w:val="left"/>
      <w:pPr>
        <w:tabs>
          <w:tab w:val="num" w:pos="1440"/>
        </w:tabs>
        <w:ind w:left="1440" w:hanging="360"/>
      </w:pPr>
      <w:rPr>
        <w:rFonts w:hint="default"/>
      </w:rPr>
    </w:lvl>
    <w:lvl w:ilvl="2" w:tplc="F392C34E">
      <w:start w:val="1"/>
      <w:numFmt w:val="lowerLetter"/>
      <w:lvlText w:val="%3)"/>
      <w:lvlJc w:val="left"/>
      <w:pPr>
        <w:tabs>
          <w:tab w:val="num" w:pos="2688"/>
        </w:tabs>
        <w:ind w:left="2688" w:hanging="708"/>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02486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5B3"/>
    <w:rsid w:val="00013873"/>
    <w:rsid w:val="00037611"/>
    <w:rsid w:val="000B2CEB"/>
    <w:rsid w:val="000B2EAA"/>
    <w:rsid w:val="000D30BD"/>
    <w:rsid w:val="000F17D6"/>
    <w:rsid w:val="001B5483"/>
    <w:rsid w:val="00202584"/>
    <w:rsid w:val="002222A2"/>
    <w:rsid w:val="002345B3"/>
    <w:rsid w:val="002560B1"/>
    <w:rsid w:val="002A15F1"/>
    <w:rsid w:val="002E5F09"/>
    <w:rsid w:val="002F77C0"/>
    <w:rsid w:val="00305A8D"/>
    <w:rsid w:val="00327819"/>
    <w:rsid w:val="00327BA9"/>
    <w:rsid w:val="00334597"/>
    <w:rsid w:val="00342097"/>
    <w:rsid w:val="00375097"/>
    <w:rsid w:val="00383C6E"/>
    <w:rsid w:val="003A1843"/>
    <w:rsid w:val="003B43CE"/>
    <w:rsid w:val="003B6BAA"/>
    <w:rsid w:val="004A14B8"/>
    <w:rsid w:val="004A53AE"/>
    <w:rsid w:val="004B2AA4"/>
    <w:rsid w:val="004B4B32"/>
    <w:rsid w:val="0052530D"/>
    <w:rsid w:val="00580FFB"/>
    <w:rsid w:val="005D0E90"/>
    <w:rsid w:val="00636B9A"/>
    <w:rsid w:val="0064733E"/>
    <w:rsid w:val="00663EA9"/>
    <w:rsid w:val="0072352D"/>
    <w:rsid w:val="007F02A7"/>
    <w:rsid w:val="0081154A"/>
    <w:rsid w:val="00852484"/>
    <w:rsid w:val="00881209"/>
    <w:rsid w:val="0088341A"/>
    <w:rsid w:val="008C28C9"/>
    <w:rsid w:val="00942F4F"/>
    <w:rsid w:val="00975A46"/>
    <w:rsid w:val="009A21F9"/>
    <w:rsid w:val="009B52E3"/>
    <w:rsid w:val="009F32F7"/>
    <w:rsid w:val="00A0237C"/>
    <w:rsid w:val="00A1582D"/>
    <w:rsid w:val="00A82A90"/>
    <w:rsid w:val="00AC4C3B"/>
    <w:rsid w:val="00AE1FE2"/>
    <w:rsid w:val="00AE3719"/>
    <w:rsid w:val="00B02BC3"/>
    <w:rsid w:val="00B124AD"/>
    <w:rsid w:val="00B16077"/>
    <w:rsid w:val="00B16F9C"/>
    <w:rsid w:val="00BB1CEA"/>
    <w:rsid w:val="00BB700B"/>
    <w:rsid w:val="00BC5452"/>
    <w:rsid w:val="00BD4A9A"/>
    <w:rsid w:val="00C15D6C"/>
    <w:rsid w:val="00C218B4"/>
    <w:rsid w:val="00C552BE"/>
    <w:rsid w:val="00C86B4C"/>
    <w:rsid w:val="00D6098F"/>
    <w:rsid w:val="00DB0914"/>
    <w:rsid w:val="00DD20F0"/>
    <w:rsid w:val="00DF5364"/>
    <w:rsid w:val="00E13104"/>
    <w:rsid w:val="00E52D46"/>
    <w:rsid w:val="00E84D33"/>
    <w:rsid w:val="00F24E1C"/>
    <w:rsid w:val="00F40889"/>
    <w:rsid w:val="00F53D80"/>
    <w:rsid w:val="00F67E0D"/>
    <w:rsid w:val="00F86DBF"/>
    <w:rsid w:val="00FE27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4D465"/>
  <w15:docId w15:val="{28DDBA74-08F9-438E-B87C-0F0CD7E5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F77C0"/>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F5364"/>
    <w:rPr>
      <w:rFonts w:ascii="Tahoma" w:hAnsi="Tahoma" w:cs="Tahoma"/>
      <w:sz w:val="16"/>
      <w:szCs w:val="16"/>
    </w:rPr>
  </w:style>
  <w:style w:type="character" w:styleId="Kommentarzeichen">
    <w:name w:val="annotation reference"/>
    <w:rsid w:val="00C552BE"/>
    <w:rPr>
      <w:sz w:val="16"/>
      <w:szCs w:val="16"/>
    </w:rPr>
  </w:style>
  <w:style w:type="paragraph" w:styleId="Kommentartext">
    <w:name w:val="annotation text"/>
    <w:basedOn w:val="Standard"/>
    <w:link w:val="KommentartextZchn"/>
    <w:rsid w:val="00C552BE"/>
    <w:rPr>
      <w:sz w:val="20"/>
      <w:szCs w:val="20"/>
    </w:rPr>
  </w:style>
  <w:style w:type="character" w:customStyle="1" w:styleId="KommentartextZchn">
    <w:name w:val="Kommentartext Zchn"/>
    <w:link w:val="Kommentartext"/>
    <w:rsid w:val="00C552BE"/>
    <w:rPr>
      <w:rFonts w:ascii="Arial" w:hAnsi="Arial"/>
    </w:rPr>
  </w:style>
  <w:style w:type="paragraph" w:styleId="Kommentarthema">
    <w:name w:val="annotation subject"/>
    <w:basedOn w:val="Kommentartext"/>
    <w:next w:val="Kommentartext"/>
    <w:link w:val="KommentarthemaZchn"/>
    <w:rsid w:val="00C552BE"/>
    <w:rPr>
      <w:b/>
      <w:bCs/>
    </w:rPr>
  </w:style>
  <w:style w:type="character" w:customStyle="1" w:styleId="KommentarthemaZchn">
    <w:name w:val="Kommentarthema Zchn"/>
    <w:link w:val="Kommentarthema"/>
    <w:rsid w:val="00C552BE"/>
    <w:rPr>
      <w:rFonts w:ascii="Arial" w:hAnsi="Arial"/>
      <w:b/>
      <w:bCs/>
    </w:rPr>
  </w:style>
  <w:style w:type="paragraph" w:styleId="Kopfzeile">
    <w:name w:val="header"/>
    <w:basedOn w:val="Standard"/>
    <w:link w:val="KopfzeileZchn"/>
    <w:rsid w:val="002E5F09"/>
    <w:pPr>
      <w:tabs>
        <w:tab w:val="center" w:pos="4536"/>
        <w:tab w:val="right" w:pos="9072"/>
      </w:tabs>
    </w:pPr>
  </w:style>
  <w:style w:type="character" w:customStyle="1" w:styleId="KopfzeileZchn">
    <w:name w:val="Kopfzeile Zchn"/>
    <w:link w:val="Kopfzeile"/>
    <w:rsid w:val="002E5F09"/>
    <w:rPr>
      <w:rFonts w:ascii="Arial" w:hAnsi="Arial"/>
      <w:sz w:val="24"/>
      <w:szCs w:val="24"/>
    </w:rPr>
  </w:style>
  <w:style w:type="paragraph" w:styleId="Fuzeile">
    <w:name w:val="footer"/>
    <w:basedOn w:val="Standard"/>
    <w:link w:val="FuzeileZchn"/>
    <w:rsid w:val="002E5F09"/>
    <w:pPr>
      <w:tabs>
        <w:tab w:val="center" w:pos="4536"/>
        <w:tab w:val="right" w:pos="9072"/>
      </w:tabs>
    </w:pPr>
  </w:style>
  <w:style w:type="character" w:customStyle="1" w:styleId="FuzeileZchn">
    <w:name w:val="Fußzeile Zchn"/>
    <w:link w:val="Fuzeile"/>
    <w:uiPriority w:val="99"/>
    <w:rsid w:val="002E5F09"/>
    <w:rPr>
      <w:rFonts w:ascii="Arial" w:hAnsi="Arial"/>
      <w:sz w:val="24"/>
      <w:szCs w:val="24"/>
    </w:rPr>
  </w:style>
  <w:style w:type="paragraph" w:styleId="Listenabsatz">
    <w:name w:val="List Paragraph"/>
    <w:basedOn w:val="Standard"/>
    <w:uiPriority w:val="34"/>
    <w:qFormat/>
    <w:rsid w:val="000D3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924561">
      <w:bodyDiv w:val="1"/>
      <w:marLeft w:val="0"/>
      <w:marRight w:val="0"/>
      <w:marTop w:val="0"/>
      <w:marBottom w:val="0"/>
      <w:divBdr>
        <w:top w:val="none" w:sz="0" w:space="0" w:color="auto"/>
        <w:left w:val="none" w:sz="0" w:space="0" w:color="auto"/>
        <w:bottom w:val="none" w:sz="0" w:space="0" w:color="auto"/>
        <w:right w:val="none" w:sz="0" w:space="0" w:color="auto"/>
      </w:divBdr>
      <w:divsChild>
        <w:div w:id="60256913">
          <w:marLeft w:val="0"/>
          <w:marRight w:val="0"/>
          <w:marTop w:val="0"/>
          <w:marBottom w:val="0"/>
          <w:divBdr>
            <w:top w:val="none" w:sz="0" w:space="0" w:color="auto"/>
            <w:left w:val="none" w:sz="0" w:space="0" w:color="auto"/>
            <w:bottom w:val="none" w:sz="0" w:space="0" w:color="auto"/>
            <w:right w:val="none" w:sz="0" w:space="0" w:color="auto"/>
          </w:divBdr>
        </w:div>
        <w:div w:id="1367833711">
          <w:marLeft w:val="0"/>
          <w:marRight w:val="0"/>
          <w:marTop w:val="0"/>
          <w:marBottom w:val="0"/>
          <w:divBdr>
            <w:top w:val="none" w:sz="0" w:space="0" w:color="auto"/>
            <w:left w:val="none" w:sz="0" w:space="0" w:color="auto"/>
            <w:bottom w:val="none" w:sz="0" w:space="0" w:color="auto"/>
            <w:right w:val="none" w:sz="0" w:space="0" w:color="auto"/>
          </w:divBdr>
        </w:div>
      </w:divsChild>
    </w:div>
    <w:div w:id="1911504755">
      <w:bodyDiv w:val="1"/>
      <w:marLeft w:val="0"/>
      <w:marRight w:val="0"/>
      <w:marTop w:val="0"/>
      <w:marBottom w:val="0"/>
      <w:divBdr>
        <w:top w:val="none" w:sz="0" w:space="0" w:color="auto"/>
        <w:left w:val="none" w:sz="0" w:space="0" w:color="auto"/>
        <w:bottom w:val="none" w:sz="0" w:space="0" w:color="auto"/>
        <w:right w:val="none" w:sz="0" w:space="0" w:color="auto"/>
      </w:divBdr>
      <w:divsChild>
        <w:div w:id="98782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7636-C1F0-42D4-83C5-63853250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6311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Allgemeine Schulungsbedingungen</vt:lpstr>
    </vt:vector>
  </TitlesOfParts>
  <Company>Hewlett-Packard Company</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Schulungsbedingungen</dc:title>
  <dc:creator>Kanzlei Möffert</dc:creator>
  <cp:lastModifiedBy>Uwe Dummer</cp:lastModifiedBy>
  <cp:revision>8</cp:revision>
  <cp:lastPrinted>2017-04-26T06:29:00Z</cp:lastPrinted>
  <dcterms:created xsi:type="dcterms:W3CDTF">2017-04-26T06:33:00Z</dcterms:created>
  <dcterms:modified xsi:type="dcterms:W3CDTF">2024-11-12T09:31:00Z</dcterms:modified>
</cp:coreProperties>
</file>